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97C" w:rsidRDefault="0089597C" w:rsidP="0089597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32"/>
          <w:szCs w:val="32"/>
        </w:rPr>
        <w:t>ABSTRACT</w:t>
      </w:r>
    </w:p>
    <w:p w:rsidR="0089597C" w:rsidRDefault="0089597C" w:rsidP="0089597C">
      <w:pPr>
        <w:autoSpaceDE w:val="0"/>
        <w:autoSpaceDN w:val="0"/>
        <w:adjustRightInd w:val="0"/>
        <w:spacing w:after="0" w:line="240" w:lineRule="auto"/>
        <w:jc w:val="both"/>
        <w:rPr>
          <w:rFonts w:ascii="Times New Roman" w:hAnsi="Times New Roman" w:cs="Times New Roman"/>
          <w:b/>
          <w:bCs/>
          <w:sz w:val="28"/>
          <w:szCs w:val="28"/>
        </w:rPr>
      </w:pPr>
    </w:p>
    <w:p w:rsidR="0089597C" w:rsidRPr="00A27D23" w:rsidRDefault="0089597C" w:rsidP="0089597C">
      <w:pPr>
        <w:autoSpaceDE w:val="0"/>
        <w:autoSpaceDN w:val="0"/>
        <w:adjustRightInd w:val="0"/>
        <w:spacing w:after="0" w:line="240" w:lineRule="auto"/>
        <w:ind w:firstLine="720"/>
        <w:jc w:val="both"/>
        <w:rPr>
          <w:rFonts w:asciiTheme="majorBidi" w:hAnsiTheme="majorBidi" w:cstheme="majorBidi"/>
          <w:sz w:val="24"/>
          <w:szCs w:val="24"/>
        </w:rPr>
      </w:pPr>
      <w:r w:rsidRPr="00A27D23">
        <w:rPr>
          <w:rFonts w:ascii="Times New Roman" w:hAnsi="Times New Roman" w:cs="Times New Roman"/>
          <w:b/>
          <w:bCs/>
          <w:sz w:val="24"/>
          <w:szCs w:val="24"/>
        </w:rPr>
        <w:t xml:space="preserve">Background: </w:t>
      </w:r>
      <w:r w:rsidRPr="00A27D23">
        <w:rPr>
          <w:rFonts w:asciiTheme="majorBidi" w:eastAsia="Arial Unicode MS" w:hAnsiTheme="majorBidi" w:cstheme="majorBidi"/>
          <w:sz w:val="24"/>
          <w:szCs w:val="24"/>
        </w:rPr>
        <w:t xml:space="preserve">Children and infants with chronic liver disease are at high risk for developing malnutrition. </w:t>
      </w:r>
      <w:r w:rsidRPr="00A27D23">
        <w:rPr>
          <w:rFonts w:asciiTheme="majorBidi" w:hAnsiTheme="majorBidi" w:cstheme="majorBidi"/>
          <w:sz w:val="24"/>
          <w:szCs w:val="24"/>
        </w:rPr>
        <w:t xml:space="preserve">Although there are now several available methods to assess malnutrition, a standardized simple and accurate method for evaluating malnutrition in liver disease remains a challenge. </w:t>
      </w:r>
    </w:p>
    <w:p w:rsidR="0089597C" w:rsidRPr="00A27D23" w:rsidRDefault="0089597C" w:rsidP="0089597C">
      <w:pPr>
        <w:pStyle w:val="Default"/>
        <w:ind w:firstLine="720"/>
        <w:rPr>
          <w:b/>
          <w:bCs/>
        </w:rPr>
      </w:pPr>
      <w:r w:rsidRPr="00A27D23">
        <w:rPr>
          <w:b/>
          <w:bCs/>
        </w:rPr>
        <w:t xml:space="preserve"> </w:t>
      </w:r>
    </w:p>
    <w:p w:rsidR="0089597C" w:rsidRPr="00A27D23" w:rsidRDefault="0089597C" w:rsidP="0089597C">
      <w:pPr>
        <w:pStyle w:val="Default"/>
        <w:ind w:firstLine="720"/>
      </w:pPr>
      <w:r w:rsidRPr="00A27D23">
        <w:rPr>
          <w:b/>
          <w:bCs/>
        </w:rPr>
        <w:t xml:space="preserve">Aim of work: </w:t>
      </w:r>
      <w:r w:rsidRPr="00A27D23">
        <w:t xml:space="preserve">To assess the nutritional status of hospitalized infants and children with liver disease and study its relation to the prognosis of these patients. </w:t>
      </w:r>
    </w:p>
    <w:p w:rsidR="0089597C" w:rsidRPr="00A27D23" w:rsidRDefault="0089597C" w:rsidP="0089597C">
      <w:pPr>
        <w:pStyle w:val="Default"/>
        <w:ind w:firstLine="720"/>
        <w:jc w:val="both"/>
        <w:rPr>
          <w:b/>
          <w:bCs/>
        </w:rPr>
      </w:pPr>
    </w:p>
    <w:p w:rsidR="0089597C" w:rsidRPr="00A27D23" w:rsidRDefault="0089597C" w:rsidP="0089597C">
      <w:pPr>
        <w:pStyle w:val="Default"/>
        <w:ind w:firstLine="720"/>
        <w:jc w:val="both"/>
      </w:pPr>
      <w:r w:rsidRPr="003B7C4C">
        <w:rPr>
          <w:b/>
          <w:bCs/>
        </w:rPr>
        <w:t xml:space="preserve">Methods: </w:t>
      </w:r>
      <w:r w:rsidRPr="003B7C4C">
        <w:t xml:space="preserve">We conducted a </w:t>
      </w:r>
      <w:r w:rsidRPr="003B7C4C">
        <w:rPr>
          <w:rFonts w:asciiTheme="majorBidi" w:hAnsiTheme="majorBidi" w:cstheme="majorBidi"/>
        </w:rPr>
        <w:t>prospective cohort</w:t>
      </w:r>
      <w:r w:rsidRPr="003B7C4C">
        <w:t xml:space="preserve"> study for all cases who were admitted in the Pediatric </w:t>
      </w:r>
      <w:proofErr w:type="spellStart"/>
      <w:r w:rsidRPr="003B7C4C">
        <w:t>Hepatology</w:t>
      </w:r>
      <w:proofErr w:type="spellEnd"/>
      <w:r w:rsidRPr="003B7C4C">
        <w:t xml:space="preserve"> Unit in Cairo University Pediatric Hospital from the beginning of November 2013 to the end of April 2014. All patients were subjected to nutritional history taking, clinical examination including anthropometric measurements</w:t>
      </w:r>
      <w:r>
        <w:t xml:space="preserve"> </w:t>
      </w:r>
      <w:r w:rsidRPr="003B7C4C">
        <w:rPr>
          <w:rFonts w:asciiTheme="majorBidi" w:hAnsiTheme="majorBidi" w:cstheme="majorBidi"/>
        </w:rPr>
        <w:t xml:space="preserve">(head circumference, weight, length/height, weight for length/height, body mass index, percentage of ideal body weight, triceps, </w:t>
      </w:r>
      <w:proofErr w:type="spellStart"/>
      <w:r w:rsidRPr="003B7C4C">
        <w:rPr>
          <w:rFonts w:asciiTheme="majorBidi" w:hAnsiTheme="majorBidi" w:cstheme="majorBidi"/>
        </w:rPr>
        <w:t>subscapular</w:t>
      </w:r>
      <w:proofErr w:type="spellEnd"/>
      <w:r w:rsidRPr="003B7C4C">
        <w:rPr>
          <w:rFonts w:asciiTheme="majorBidi" w:hAnsiTheme="majorBidi" w:cstheme="majorBidi"/>
        </w:rPr>
        <w:t xml:space="preserve"> skin folds</w:t>
      </w:r>
      <w:r>
        <w:rPr>
          <w:rFonts w:asciiTheme="majorBidi" w:hAnsiTheme="majorBidi" w:cstheme="majorBidi"/>
        </w:rPr>
        <w:t xml:space="preserve"> thickness</w:t>
      </w:r>
      <w:r w:rsidRPr="003B7C4C">
        <w:rPr>
          <w:rFonts w:asciiTheme="majorBidi" w:hAnsiTheme="majorBidi" w:cstheme="majorBidi"/>
        </w:rPr>
        <w:t>, mid upper arm circumference and upper arm muscle area by height)</w:t>
      </w:r>
      <w:r>
        <w:t xml:space="preserve"> a</w:t>
      </w:r>
      <w:r w:rsidRPr="003B7C4C">
        <w:t>nd basic laboratory tests.</w:t>
      </w:r>
    </w:p>
    <w:p w:rsidR="0089597C" w:rsidRPr="00A27D23" w:rsidRDefault="0089597C" w:rsidP="0089597C">
      <w:pPr>
        <w:autoSpaceDE w:val="0"/>
        <w:autoSpaceDN w:val="0"/>
        <w:adjustRightInd w:val="0"/>
        <w:spacing w:after="0"/>
        <w:ind w:firstLine="720"/>
        <w:rPr>
          <w:rFonts w:ascii="Times New Roman" w:hAnsi="Times New Roman" w:cs="Times New Roman"/>
          <w:b/>
          <w:bCs/>
          <w:sz w:val="24"/>
          <w:szCs w:val="24"/>
        </w:rPr>
      </w:pPr>
    </w:p>
    <w:p w:rsidR="0089597C" w:rsidRPr="00A27D23" w:rsidRDefault="0089597C" w:rsidP="0089597C">
      <w:pPr>
        <w:autoSpaceDE w:val="0"/>
        <w:autoSpaceDN w:val="0"/>
        <w:adjustRightInd w:val="0"/>
        <w:spacing w:after="0"/>
        <w:ind w:firstLine="720"/>
        <w:rPr>
          <w:rFonts w:asciiTheme="majorBidi" w:hAnsiTheme="majorBidi" w:cstheme="majorBidi"/>
          <w:sz w:val="24"/>
          <w:szCs w:val="24"/>
        </w:rPr>
      </w:pPr>
      <w:r w:rsidRPr="00A27D23">
        <w:rPr>
          <w:rFonts w:ascii="Times New Roman" w:hAnsi="Times New Roman" w:cs="Times New Roman"/>
          <w:b/>
          <w:bCs/>
          <w:sz w:val="24"/>
          <w:szCs w:val="24"/>
        </w:rPr>
        <w:t xml:space="preserve">Results: </w:t>
      </w:r>
      <w:r w:rsidRPr="0061346F">
        <w:rPr>
          <w:rFonts w:asciiTheme="majorBidi" w:hAnsiTheme="majorBidi" w:cstheme="majorBidi"/>
          <w:sz w:val="24"/>
          <w:szCs w:val="24"/>
        </w:rPr>
        <w:t>Our study included 5</w:t>
      </w:r>
      <w:r>
        <w:rPr>
          <w:rFonts w:asciiTheme="majorBidi" w:hAnsiTheme="majorBidi" w:cstheme="majorBidi"/>
          <w:sz w:val="24"/>
          <w:szCs w:val="24"/>
        </w:rPr>
        <w:t xml:space="preserve">9 cases. </w:t>
      </w:r>
      <w:r w:rsidRPr="00A27D23">
        <w:rPr>
          <w:rFonts w:asciiTheme="majorBidi" w:hAnsiTheme="majorBidi" w:cstheme="majorBidi"/>
          <w:sz w:val="24"/>
          <w:szCs w:val="24"/>
        </w:rPr>
        <w:t xml:space="preserve">The median age of the patients was 8.5 months with IQR (44.5). 41 patients (69.5%) had </w:t>
      </w:r>
      <w:proofErr w:type="spellStart"/>
      <w:r w:rsidRPr="00A27D23">
        <w:rPr>
          <w:rFonts w:asciiTheme="majorBidi" w:hAnsiTheme="majorBidi" w:cstheme="majorBidi"/>
          <w:sz w:val="24"/>
          <w:szCs w:val="24"/>
        </w:rPr>
        <w:t>cholestatic</w:t>
      </w:r>
      <w:proofErr w:type="spellEnd"/>
      <w:r w:rsidRPr="00A27D23">
        <w:rPr>
          <w:rFonts w:asciiTheme="majorBidi" w:hAnsiTheme="majorBidi" w:cstheme="majorBidi"/>
          <w:sz w:val="24"/>
          <w:szCs w:val="24"/>
        </w:rPr>
        <w:t xml:space="preserve"> disorders of infancy. </w:t>
      </w:r>
      <w:r w:rsidRPr="00A27D23">
        <w:rPr>
          <w:rFonts w:asciiTheme="majorBidi" w:hAnsiTheme="majorBidi" w:cstheme="majorBidi"/>
          <w:sz w:val="24"/>
          <w:szCs w:val="24"/>
          <w:shd w:val="clear" w:color="auto" w:fill="FFFFFF"/>
        </w:rPr>
        <w:t>Anthropometric measurements showed that</w:t>
      </w:r>
      <w:r w:rsidRPr="00A27D23">
        <w:rPr>
          <w:rFonts w:asciiTheme="majorBidi" w:hAnsiTheme="majorBidi" w:cstheme="majorBidi"/>
          <w:sz w:val="24"/>
          <w:szCs w:val="24"/>
        </w:rPr>
        <w:t xml:space="preserve"> 21 </w:t>
      </w:r>
      <w:r w:rsidRPr="00A27D23">
        <w:rPr>
          <w:rFonts w:asciiTheme="majorBidi" w:hAnsiTheme="majorBidi" w:cstheme="majorBidi"/>
          <w:sz w:val="24"/>
          <w:szCs w:val="24"/>
          <w:shd w:val="clear" w:color="auto" w:fill="FFFFFF"/>
        </w:rPr>
        <w:t>patients</w:t>
      </w:r>
      <w:r w:rsidRPr="00A27D23">
        <w:rPr>
          <w:rFonts w:asciiTheme="majorBidi" w:hAnsiTheme="majorBidi" w:cstheme="majorBidi"/>
          <w:sz w:val="24"/>
          <w:szCs w:val="24"/>
        </w:rPr>
        <w:t xml:space="preserve"> (35.6%) were underweight, 29 </w:t>
      </w:r>
      <w:r w:rsidRPr="00A27D23">
        <w:rPr>
          <w:rFonts w:asciiTheme="majorBidi" w:hAnsiTheme="majorBidi" w:cstheme="majorBidi"/>
          <w:sz w:val="24"/>
          <w:szCs w:val="24"/>
          <w:shd w:val="clear" w:color="auto" w:fill="FFFFFF"/>
        </w:rPr>
        <w:t xml:space="preserve">patients </w:t>
      </w:r>
      <w:r>
        <w:rPr>
          <w:rFonts w:asciiTheme="majorBidi" w:hAnsiTheme="majorBidi" w:cstheme="majorBidi"/>
          <w:sz w:val="24"/>
          <w:szCs w:val="24"/>
        </w:rPr>
        <w:t>(49.2%) were stunted and</w:t>
      </w:r>
      <w:r w:rsidRPr="00A27D23">
        <w:rPr>
          <w:rFonts w:asciiTheme="majorBidi" w:hAnsiTheme="majorBidi" w:cstheme="majorBidi"/>
          <w:sz w:val="24"/>
          <w:szCs w:val="24"/>
        </w:rPr>
        <w:t xml:space="preserve"> 6 patients (10.2%) were wasted by weight for length/height percentile. 35 patients (59.4%) had triceps skin fold below 5</w:t>
      </w:r>
      <w:r w:rsidRPr="00A27D23">
        <w:rPr>
          <w:rFonts w:asciiTheme="majorBidi" w:hAnsiTheme="majorBidi" w:cstheme="majorBidi"/>
          <w:sz w:val="24"/>
          <w:szCs w:val="24"/>
          <w:vertAlign w:val="superscript"/>
        </w:rPr>
        <w:t>th</w:t>
      </w:r>
      <w:r w:rsidRPr="00A27D23">
        <w:rPr>
          <w:rFonts w:asciiTheme="majorBidi" w:hAnsiTheme="majorBidi" w:cstheme="majorBidi"/>
          <w:sz w:val="24"/>
          <w:szCs w:val="24"/>
        </w:rPr>
        <w:t xml:space="preserve"> percentile. 39 patients (66.1%) had </w:t>
      </w:r>
      <w:proofErr w:type="spellStart"/>
      <w:r w:rsidRPr="00A27D23">
        <w:rPr>
          <w:rFonts w:asciiTheme="majorBidi" w:hAnsiTheme="majorBidi" w:cstheme="majorBidi"/>
          <w:sz w:val="24"/>
          <w:szCs w:val="24"/>
        </w:rPr>
        <w:t>subscapular</w:t>
      </w:r>
      <w:proofErr w:type="spellEnd"/>
      <w:r w:rsidRPr="00A27D23">
        <w:rPr>
          <w:rFonts w:asciiTheme="majorBidi" w:hAnsiTheme="majorBidi" w:cstheme="majorBidi"/>
          <w:sz w:val="24"/>
          <w:szCs w:val="24"/>
        </w:rPr>
        <w:t xml:space="preserve"> skin fold below 5</w:t>
      </w:r>
      <w:r w:rsidRPr="00A27D23">
        <w:rPr>
          <w:rFonts w:asciiTheme="majorBidi" w:hAnsiTheme="majorBidi" w:cstheme="majorBidi"/>
          <w:sz w:val="24"/>
          <w:szCs w:val="24"/>
          <w:vertAlign w:val="superscript"/>
        </w:rPr>
        <w:t>th</w:t>
      </w:r>
      <w:r w:rsidRPr="00A27D23">
        <w:rPr>
          <w:rFonts w:asciiTheme="majorBidi" w:hAnsiTheme="majorBidi" w:cstheme="majorBidi"/>
          <w:sz w:val="24"/>
          <w:szCs w:val="24"/>
        </w:rPr>
        <w:t xml:space="preserve"> percentile. 33 </w:t>
      </w:r>
      <w:r w:rsidRPr="00A27D23">
        <w:rPr>
          <w:rFonts w:asciiTheme="majorBidi" w:hAnsiTheme="majorBidi" w:cstheme="majorBidi"/>
          <w:sz w:val="24"/>
          <w:szCs w:val="24"/>
          <w:shd w:val="clear" w:color="auto" w:fill="FFFFFF"/>
        </w:rPr>
        <w:t>patients</w:t>
      </w:r>
      <w:r w:rsidRPr="00A27D23">
        <w:rPr>
          <w:rFonts w:asciiTheme="majorBidi" w:hAnsiTheme="majorBidi" w:cstheme="majorBidi"/>
          <w:sz w:val="24"/>
          <w:szCs w:val="24"/>
        </w:rPr>
        <w:t xml:space="preserve"> (56%) had mid upper arm circumference below 5</w:t>
      </w:r>
      <w:r w:rsidRPr="00A27D23">
        <w:rPr>
          <w:rFonts w:asciiTheme="majorBidi" w:hAnsiTheme="majorBidi" w:cstheme="majorBidi"/>
          <w:sz w:val="24"/>
          <w:szCs w:val="24"/>
          <w:vertAlign w:val="superscript"/>
        </w:rPr>
        <w:t>th</w:t>
      </w:r>
      <w:r w:rsidRPr="00A27D23">
        <w:rPr>
          <w:rFonts w:asciiTheme="majorBidi" w:hAnsiTheme="majorBidi" w:cstheme="majorBidi"/>
          <w:sz w:val="24"/>
          <w:szCs w:val="24"/>
        </w:rPr>
        <w:t xml:space="preserve"> percentile. </w:t>
      </w:r>
      <w:r w:rsidRPr="00A27D23">
        <w:rPr>
          <w:rFonts w:asciiTheme="majorBidi" w:eastAsia="Times New Roman" w:hAnsiTheme="majorBidi" w:cstheme="majorBidi"/>
          <w:sz w:val="24"/>
          <w:szCs w:val="24"/>
          <w:lang w:bidi="ar-EG"/>
        </w:rPr>
        <w:t xml:space="preserve">25 patients (42.3%) developed complications. </w:t>
      </w:r>
      <w:r w:rsidRPr="00A27D23">
        <w:rPr>
          <w:rFonts w:asciiTheme="majorBidi" w:hAnsiTheme="majorBidi" w:cstheme="majorBidi"/>
          <w:sz w:val="24"/>
          <w:szCs w:val="24"/>
        </w:rPr>
        <w:t>We found no difference in the prognosis by using anthropometric measurements in nutritional assessment.</w:t>
      </w:r>
      <w:r>
        <w:rPr>
          <w:rFonts w:asciiTheme="majorBidi" w:hAnsiTheme="majorBidi" w:cstheme="majorBidi"/>
          <w:sz w:val="24"/>
          <w:szCs w:val="24"/>
        </w:rPr>
        <w:t xml:space="preserve"> </w:t>
      </w:r>
      <w:r w:rsidRPr="00A27D23">
        <w:rPr>
          <w:rFonts w:asciiTheme="majorBidi" w:hAnsiTheme="majorBidi" w:cstheme="majorBidi"/>
          <w:sz w:val="24"/>
          <w:szCs w:val="24"/>
        </w:rPr>
        <w:t xml:space="preserve">We found a positive correlation between triceps skin fold thickness as a nutritional index and a </w:t>
      </w:r>
      <w:r w:rsidRPr="00A27D23">
        <w:rPr>
          <w:rFonts w:asciiTheme="majorBidi" w:eastAsia="Times New Roman" w:hAnsiTheme="majorBidi" w:cstheme="majorBidi"/>
          <w:sz w:val="24"/>
          <w:szCs w:val="24"/>
        </w:rPr>
        <w:t>longer hospital stay in 31.4% of malnourished patients versus 11.1% in non malnourished patients (P value</w:t>
      </w:r>
      <w:r w:rsidRPr="00A27D23">
        <w:rPr>
          <w:rFonts w:asciiTheme="majorBidi" w:eastAsia="Times New Roman" w:hAnsiTheme="majorBidi" w:cstheme="majorBidi"/>
          <w:sz w:val="24"/>
          <w:szCs w:val="24"/>
          <w:rtl/>
          <w:lang w:bidi="ar-EG"/>
        </w:rPr>
        <w:t xml:space="preserve">&gt; </w:t>
      </w:r>
      <w:r w:rsidRPr="00A27D23">
        <w:rPr>
          <w:rFonts w:asciiTheme="majorBidi" w:eastAsia="Times New Roman" w:hAnsiTheme="majorBidi" w:cstheme="majorBidi"/>
          <w:sz w:val="24"/>
          <w:szCs w:val="24"/>
          <w:lang w:bidi="ar-EG"/>
        </w:rPr>
        <w:t>0.01).</w:t>
      </w:r>
    </w:p>
    <w:p w:rsidR="0089597C" w:rsidRPr="00A27D23" w:rsidRDefault="0089597C" w:rsidP="0089597C">
      <w:pPr>
        <w:ind w:firstLine="720"/>
        <w:rPr>
          <w:rFonts w:ascii="Times New Roman" w:hAnsi="Times New Roman" w:cs="Times New Roman"/>
          <w:b/>
          <w:bCs/>
          <w:sz w:val="24"/>
          <w:szCs w:val="24"/>
        </w:rPr>
      </w:pPr>
    </w:p>
    <w:p w:rsidR="0089597C" w:rsidRPr="00A27D23" w:rsidRDefault="0089597C" w:rsidP="0089597C">
      <w:pPr>
        <w:ind w:firstLine="720"/>
        <w:rPr>
          <w:rFonts w:asciiTheme="majorBidi" w:hAnsiTheme="majorBidi" w:cstheme="majorBidi"/>
          <w:sz w:val="24"/>
          <w:szCs w:val="24"/>
        </w:rPr>
      </w:pPr>
      <w:r w:rsidRPr="00A27D23">
        <w:rPr>
          <w:rFonts w:ascii="Times New Roman" w:hAnsi="Times New Roman" w:cs="Times New Roman"/>
          <w:b/>
          <w:bCs/>
          <w:sz w:val="24"/>
          <w:szCs w:val="24"/>
        </w:rPr>
        <w:t xml:space="preserve">Conclusion: </w:t>
      </w:r>
      <w:r w:rsidRPr="00A27D23">
        <w:rPr>
          <w:rFonts w:asciiTheme="majorBidi" w:hAnsiTheme="majorBidi" w:cstheme="majorBidi"/>
          <w:sz w:val="24"/>
          <w:szCs w:val="24"/>
        </w:rPr>
        <w:t xml:space="preserve">Infants and </w:t>
      </w:r>
      <w:r w:rsidRPr="00A27D23">
        <w:rPr>
          <w:rFonts w:asciiTheme="majorBidi" w:hAnsiTheme="majorBidi" w:cstheme="majorBidi"/>
          <w:sz w:val="24"/>
          <w:szCs w:val="24"/>
          <w:shd w:val="clear" w:color="auto" w:fill="FFFFFF"/>
        </w:rPr>
        <w:t xml:space="preserve">children with chronic liver diseases had a significant degree of malnutrition. </w:t>
      </w:r>
      <w:r w:rsidRPr="00A27D23">
        <w:rPr>
          <w:rFonts w:asciiTheme="majorBidi" w:hAnsiTheme="majorBidi" w:cstheme="majorBidi"/>
          <w:sz w:val="24"/>
          <w:szCs w:val="24"/>
        </w:rPr>
        <w:t>Although we</w:t>
      </w:r>
      <w:r w:rsidRPr="00A27D23">
        <w:rPr>
          <w:rFonts w:asciiTheme="majorBidi" w:hAnsiTheme="majorBidi" w:cstheme="majorBidi"/>
          <w:b/>
          <w:bCs/>
          <w:sz w:val="24"/>
          <w:szCs w:val="24"/>
        </w:rPr>
        <w:t xml:space="preserve"> </w:t>
      </w:r>
      <w:r w:rsidRPr="00A27D23">
        <w:rPr>
          <w:rFonts w:asciiTheme="majorBidi" w:hAnsiTheme="majorBidi" w:cstheme="majorBidi"/>
          <w:sz w:val="24"/>
          <w:szCs w:val="24"/>
        </w:rPr>
        <w:t xml:space="preserve">could not found a strong relation between the anthropometric measurements and prognosis of our patients, anthropometric measurements were </w:t>
      </w:r>
      <w:r w:rsidRPr="00A27D23">
        <w:rPr>
          <w:rFonts w:asciiTheme="majorBidi" w:hAnsiTheme="majorBidi" w:cstheme="majorBidi"/>
          <w:sz w:val="24"/>
          <w:szCs w:val="24"/>
          <w:shd w:val="clear" w:color="auto" w:fill="FFFFFF"/>
        </w:rPr>
        <w:t>useful in evaluation of the nutritional status of these patients</w:t>
      </w:r>
      <w:bookmarkStart w:id="0" w:name="_GoBack"/>
      <w:bookmarkEnd w:id="0"/>
      <w:r>
        <w:rPr>
          <w:rFonts w:asciiTheme="majorBidi" w:hAnsiTheme="majorBidi" w:cstheme="majorBidi"/>
          <w:sz w:val="24"/>
          <w:szCs w:val="24"/>
          <w:shd w:val="clear" w:color="auto" w:fill="FFFFFF"/>
        </w:rPr>
        <w:t>.</w:t>
      </w:r>
    </w:p>
    <w:p w:rsidR="0089597C" w:rsidRDefault="0089597C" w:rsidP="0089597C">
      <w:pPr>
        <w:autoSpaceDE w:val="0"/>
        <w:autoSpaceDN w:val="0"/>
        <w:adjustRightInd w:val="0"/>
        <w:spacing w:after="0" w:line="240" w:lineRule="auto"/>
        <w:ind w:firstLine="720"/>
        <w:rPr>
          <w:sz w:val="24"/>
          <w:szCs w:val="24"/>
        </w:rPr>
      </w:pPr>
      <w:r w:rsidRPr="00A27D23">
        <w:rPr>
          <w:rFonts w:ascii="Times New Roman" w:hAnsi="Times New Roman" w:cs="Times New Roman"/>
          <w:b/>
          <w:bCs/>
          <w:sz w:val="24"/>
          <w:szCs w:val="24"/>
        </w:rPr>
        <w:t xml:space="preserve">Key words: </w:t>
      </w:r>
      <w:r w:rsidRPr="00A27D23">
        <w:rPr>
          <w:rFonts w:ascii="Times New Roman" w:hAnsi="Times New Roman" w:cs="Times New Roman"/>
          <w:sz w:val="24"/>
          <w:szCs w:val="24"/>
        </w:rPr>
        <w:t>Anthropometry, nutritional assessment, pediatrics, malnutrition, hospitalized and liver disease.</w:t>
      </w:r>
    </w:p>
    <w:p w:rsidR="001A0CEB" w:rsidRDefault="001A0CEB"/>
    <w:sectPr w:rsidR="001A0CEB" w:rsidSect="001A0C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597C"/>
    <w:rsid w:val="00146EEF"/>
    <w:rsid w:val="001A0CEB"/>
    <w:rsid w:val="004B21DC"/>
    <w:rsid w:val="0089597C"/>
    <w:rsid w:val="00AB2E68"/>
    <w:rsid w:val="00C46828"/>
    <w:rsid w:val="00FF2B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9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59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2035</Characters>
  <Application>Microsoft Office Word</Application>
  <DocSecurity>0</DocSecurity>
  <Lines>16</Lines>
  <Paragraphs>4</Paragraphs>
  <ScaleCrop>false</ScaleCrop>
  <Company>HOME</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2016-07-24T21:23:00Z</dcterms:created>
  <dcterms:modified xsi:type="dcterms:W3CDTF">2016-07-24T21:24:00Z</dcterms:modified>
</cp:coreProperties>
</file>