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C6A" w:rsidRDefault="005D0C6A" w:rsidP="005D0C6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5D0C6A">
        <w:rPr>
          <w:rFonts w:asciiTheme="majorBidi" w:hAnsiTheme="majorBidi" w:cstheme="majorBidi"/>
          <w:b/>
          <w:bCs/>
        </w:rPr>
        <w:t>Abstract</w:t>
      </w:r>
    </w:p>
    <w:p w:rsidR="005D0C6A" w:rsidRPr="005D0C6A" w:rsidRDefault="005D0C6A" w:rsidP="005D0C6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:rsidR="00BB6406" w:rsidRPr="005D0C6A" w:rsidRDefault="005D0C6A" w:rsidP="005D0C6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="UniversLTStd" w:hAnsiTheme="majorBidi" w:cstheme="majorBidi"/>
        </w:rPr>
      </w:pPr>
      <w:r w:rsidRPr="005D0C6A">
        <w:rPr>
          <w:rFonts w:asciiTheme="majorBidi" w:eastAsia="UniversLTStd" w:hAnsiTheme="majorBidi" w:cstheme="majorBidi"/>
        </w:rPr>
        <w:t>Two stability-indicating chromatographic methods have been established and validated for concurrent</w:t>
      </w:r>
      <w:r>
        <w:rPr>
          <w:rFonts w:asciiTheme="majorBidi" w:eastAsia="UniversLTStd" w:hAnsiTheme="majorBidi" w:cstheme="majorBidi"/>
        </w:rPr>
        <w:t xml:space="preserve"> </w:t>
      </w:r>
      <w:r w:rsidRPr="005D0C6A">
        <w:rPr>
          <w:rFonts w:asciiTheme="majorBidi" w:eastAsia="UniversLTStd" w:hAnsiTheme="majorBidi" w:cstheme="majorBidi"/>
        </w:rPr>
        <w:t xml:space="preserve">determination of </w:t>
      </w:r>
      <w:proofErr w:type="spellStart"/>
      <w:r w:rsidRPr="005D0C6A">
        <w:rPr>
          <w:rFonts w:asciiTheme="majorBidi" w:eastAsia="UniversLTStd" w:hAnsiTheme="majorBidi" w:cstheme="majorBidi"/>
        </w:rPr>
        <w:t>probenecid</w:t>
      </w:r>
      <w:proofErr w:type="spellEnd"/>
      <w:r w:rsidRPr="005D0C6A">
        <w:rPr>
          <w:rFonts w:asciiTheme="majorBidi" w:eastAsia="UniversLTStd" w:hAnsiTheme="majorBidi" w:cstheme="majorBidi"/>
        </w:rPr>
        <w:t xml:space="preserve"> (PRO), colchicine (COL) along with the degradation product of</w:t>
      </w:r>
      <w:r>
        <w:rPr>
          <w:rFonts w:asciiTheme="majorBidi" w:eastAsia="UniversLTStd" w:hAnsiTheme="majorBidi" w:cstheme="majorBidi"/>
        </w:rPr>
        <w:t xml:space="preserve"> </w:t>
      </w:r>
      <w:r w:rsidRPr="005D0C6A">
        <w:rPr>
          <w:rFonts w:asciiTheme="majorBidi" w:eastAsia="UniversLTStd" w:hAnsiTheme="majorBidi" w:cstheme="majorBidi"/>
        </w:rPr>
        <w:t xml:space="preserve">colchicine (COL </w:t>
      </w:r>
      <w:proofErr w:type="spellStart"/>
      <w:r w:rsidRPr="005D0C6A">
        <w:rPr>
          <w:rFonts w:asciiTheme="majorBidi" w:eastAsia="UniversLTStd" w:hAnsiTheme="majorBidi" w:cstheme="majorBidi"/>
        </w:rPr>
        <w:t>deg</w:t>
      </w:r>
      <w:proofErr w:type="spellEnd"/>
      <w:r w:rsidRPr="005D0C6A">
        <w:rPr>
          <w:rFonts w:asciiTheme="majorBidi" w:eastAsia="UniversLTStd" w:hAnsiTheme="majorBidi" w:cstheme="majorBidi"/>
        </w:rPr>
        <w:t xml:space="preserve">). PRO and COL were exposed to a stress stability study, which includes </w:t>
      </w:r>
      <w:proofErr w:type="spellStart"/>
      <w:r w:rsidRPr="005D0C6A">
        <w:rPr>
          <w:rFonts w:asciiTheme="majorBidi" w:eastAsia="UniversLTStd" w:hAnsiTheme="majorBidi" w:cstheme="majorBidi"/>
        </w:rPr>
        <w:t>acidic</w:t>
      </w:r>
      <w:proofErr w:type="gramStart"/>
      <w:r w:rsidRPr="005D0C6A">
        <w:rPr>
          <w:rFonts w:asciiTheme="majorBidi" w:eastAsia="UniversLTStd" w:hAnsiTheme="majorBidi" w:cstheme="majorBidi"/>
        </w:rPr>
        <w:t>,alkaline</w:t>
      </w:r>
      <w:proofErr w:type="spellEnd"/>
      <w:proofErr w:type="gramEnd"/>
      <w:r w:rsidRPr="005D0C6A">
        <w:rPr>
          <w:rFonts w:asciiTheme="majorBidi" w:eastAsia="UniversLTStd" w:hAnsiTheme="majorBidi" w:cstheme="majorBidi"/>
        </w:rPr>
        <w:t>, oxidative, photolytic and thermal degradations. Chromatographic methods included the</w:t>
      </w:r>
      <w:r>
        <w:rPr>
          <w:rFonts w:asciiTheme="majorBidi" w:eastAsia="UniversLTStd" w:hAnsiTheme="majorBidi" w:cstheme="majorBidi"/>
        </w:rPr>
        <w:t xml:space="preserve"> </w:t>
      </w:r>
      <w:r w:rsidRPr="005D0C6A">
        <w:rPr>
          <w:rFonts w:asciiTheme="majorBidi" w:eastAsia="UniversLTStd" w:hAnsiTheme="majorBidi" w:cstheme="majorBidi"/>
        </w:rPr>
        <w:t>use of thin layer chromatography (TLC-densitometry) and high performance liquid chromatography</w:t>
      </w:r>
      <w:r>
        <w:rPr>
          <w:rFonts w:asciiTheme="majorBidi" w:eastAsia="UniversLTStd" w:hAnsiTheme="majorBidi" w:cstheme="majorBidi"/>
        </w:rPr>
        <w:t xml:space="preserve"> </w:t>
      </w:r>
      <w:r w:rsidRPr="005D0C6A">
        <w:rPr>
          <w:rFonts w:asciiTheme="majorBidi" w:eastAsia="UniversLTStd" w:hAnsiTheme="majorBidi" w:cstheme="majorBidi"/>
        </w:rPr>
        <w:t>(HPLC). In the first method, separation was achieved by using aluminum TLC plates that were</w:t>
      </w:r>
      <w:r>
        <w:rPr>
          <w:rFonts w:asciiTheme="majorBidi" w:eastAsia="UniversLTStd" w:hAnsiTheme="majorBidi" w:cstheme="majorBidi"/>
        </w:rPr>
        <w:t xml:space="preserve"> </w:t>
      </w:r>
      <w:proofErr w:type="spellStart"/>
      <w:r w:rsidRPr="005D0C6A">
        <w:rPr>
          <w:rFonts w:asciiTheme="majorBidi" w:eastAsia="UniversLTStd" w:hAnsiTheme="majorBidi" w:cstheme="majorBidi"/>
        </w:rPr>
        <w:t>precoated</w:t>
      </w:r>
      <w:proofErr w:type="spellEnd"/>
      <w:r w:rsidRPr="005D0C6A">
        <w:rPr>
          <w:rFonts w:asciiTheme="majorBidi" w:eastAsia="UniversLTStd" w:hAnsiTheme="majorBidi" w:cstheme="majorBidi"/>
        </w:rPr>
        <w:t xml:space="preserve"> with silica gel G.F254 as the stationary phase and ethyl acetate</w:t>
      </w:r>
      <w:r w:rsidRPr="005D0C6A">
        <w:rPr>
          <w:rFonts w:asciiTheme="majorBidi" w:eastAsia="SabonLTStd-R" w:hAnsiTheme="majorBidi" w:cstheme="majorBidi"/>
        </w:rPr>
        <w:t>–</w:t>
      </w:r>
      <w:r w:rsidRPr="005D0C6A">
        <w:rPr>
          <w:rFonts w:asciiTheme="majorBidi" w:eastAsia="UniversLTStd" w:hAnsiTheme="majorBidi" w:cstheme="majorBidi"/>
        </w:rPr>
        <w:t>methanol</w:t>
      </w:r>
      <w:r w:rsidRPr="005D0C6A">
        <w:rPr>
          <w:rFonts w:asciiTheme="majorBidi" w:eastAsia="SabonLTStd-R" w:hAnsiTheme="majorBidi" w:cstheme="majorBidi"/>
        </w:rPr>
        <w:t>–</w:t>
      </w:r>
      <w:r w:rsidRPr="005D0C6A">
        <w:rPr>
          <w:rFonts w:asciiTheme="majorBidi" w:eastAsia="UniversLTStd" w:hAnsiTheme="majorBidi" w:cstheme="majorBidi"/>
        </w:rPr>
        <w:t>33%ammonia</w:t>
      </w:r>
      <w:r>
        <w:rPr>
          <w:rFonts w:asciiTheme="majorBidi" w:eastAsia="UniversLTStd" w:hAnsiTheme="majorBidi" w:cstheme="majorBidi"/>
        </w:rPr>
        <w:t xml:space="preserve"> </w:t>
      </w:r>
      <w:r w:rsidRPr="005D0C6A">
        <w:rPr>
          <w:rFonts w:asciiTheme="majorBidi" w:eastAsia="UniversLTStd" w:hAnsiTheme="majorBidi" w:cstheme="majorBidi"/>
        </w:rPr>
        <w:t>(8:1:1, by volume) as a mobile phase. The obtained chromatograms were scanned at 254 nm. The</w:t>
      </w:r>
      <w:r>
        <w:rPr>
          <w:rFonts w:asciiTheme="majorBidi" w:eastAsia="UniversLTStd" w:hAnsiTheme="majorBidi" w:cstheme="majorBidi"/>
        </w:rPr>
        <w:t xml:space="preserve"> </w:t>
      </w:r>
      <w:r w:rsidRPr="005D0C6A">
        <w:rPr>
          <w:rFonts w:asciiTheme="majorBidi" w:eastAsia="UniversLTStd" w:hAnsiTheme="majorBidi" w:cstheme="majorBidi"/>
        </w:rPr>
        <w:t>second method was based on HPLC using a RP- C18 column with isocratic elution. Good separation</w:t>
      </w:r>
      <w:r>
        <w:rPr>
          <w:rFonts w:asciiTheme="majorBidi" w:eastAsia="UniversLTStd" w:hAnsiTheme="majorBidi" w:cstheme="majorBidi"/>
        </w:rPr>
        <w:t xml:space="preserve"> </w:t>
      </w:r>
      <w:r w:rsidRPr="005D0C6A">
        <w:rPr>
          <w:rFonts w:asciiTheme="majorBidi" w:eastAsia="UniversLTStd" w:hAnsiTheme="majorBidi" w:cstheme="majorBidi"/>
        </w:rPr>
        <w:t>was obtained through a mobile phase comprised of phosphate buffer pH 5</w:t>
      </w:r>
      <w:r w:rsidRPr="005D0C6A">
        <w:rPr>
          <w:rFonts w:asciiTheme="majorBidi" w:eastAsia="SabonLTStd-R" w:hAnsiTheme="majorBidi" w:cstheme="majorBidi"/>
        </w:rPr>
        <w:t>–</w:t>
      </w:r>
      <w:r w:rsidRPr="005D0C6A">
        <w:rPr>
          <w:rFonts w:asciiTheme="majorBidi" w:eastAsia="UniversLTStd" w:hAnsiTheme="majorBidi" w:cstheme="majorBidi"/>
        </w:rPr>
        <w:t>acetonitrile (70:30, v/v)</w:t>
      </w:r>
      <w:r>
        <w:rPr>
          <w:rFonts w:asciiTheme="majorBidi" w:eastAsia="UniversLTStd" w:hAnsiTheme="majorBidi" w:cstheme="majorBidi"/>
        </w:rPr>
        <w:t xml:space="preserve"> </w:t>
      </w:r>
      <w:r w:rsidRPr="005D0C6A">
        <w:rPr>
          <w:rFonts w:asciiTheme="majorBidi" w:eastAsia="UniversLTStd" w:hAnsiTheme="majorBidi" w:cstheme="majorBidi"/>
        </w:rPr>
        <w:t>at a flow rate of 1.0 mL min</w:t>
      </w:r>
      <w:r w:rsidRPr="005D0C6A">
        <w:rPr>
          <w:rFonts w:asciiTheme="majorBidi" w:eastAsia="MTSYN" w:hAnsiTheme="majorBidi" w:cstheme="majorBidi"/>
        </w:rPr>
        <w:t>−</w:t>
      </w:r>
      <w:r w:rsidRPr="005D0C6A">
        <w:rPr>
          <w:rFonts w:asciiTheme="majorBidi" w:eastAsia="UniversLTStd" w:hAnsiTheme="majorBidi" w:cstheme="majorBidi"/>
        </w:rPr>
        <w:t>1 and ultraviolet detection at 254 nm. Different parameters affecting</w:t>
      </w:r>
      <w:r>
        <w:rPr>
          <w:rFonts w:asciiTheme="majorBidi" w:eastAsia="UniversLTStd" w:hAnsiTheme="majorBidi" w:cstheme="majorBidi"/>
        </w:rPr>
        <w:t xml:space="preserve"> </w:t>
      </w:r>
      <w:r w:rsidRPr="005D0C6A">
        <w:rPr>
          <w:rFonts w:asciiTheme="majorBidi" w:eastAsia="UniversLTStd" w:hAnsiTheme="majorBidi" w:cstheme="majorBidi"/>
        </w:rPr>
        <w:t>efficiency of the two methods were studied accurately for optimum separation of the three cited</w:t>
      </w:r>
      <w:r>
        <w:rPr>
          <w:rFonts w:asciiTheme="majorBidi" w:eastAsia="UniversLTStd" w:hAnsiTheme="majorBidi" w:cstheme="majorBidi"/>
        </w:rPr>
        <w:t xml:space="preserve"> </w:t>
      </w:r>
      <w:r w:rsidRPr="005D0C6A">
        <w:rPr>
          <w:rFonts w:asciiTheme="majorBidi" w:eastAsia="UniversLTStd" w:hAnsiTheme="majorBidi" w:cstheme="majorBidi"/>
        </w:rPr>
        <w:t xml:space="preserve">components. The suggested methods </w:t>
      </w:r>
      <w:proofErr w:type="gramStart"/>
      <w:r w:rsidRPr="005D0C6A">
        <w:rPr>
          <w:rFonts w:asciiTheme="majorBidi" w:eastAsia="UniversLTStd" w:hAnsiTheme="majorBidi" w:cstheme="majorBidi"/>
        </w:rPr>
        <w:t>were validated</w:t>
      </w:r>
      <w:proofErr w:type="gramEnd"/>
      <w:r w:rsidRPr="005D0C6A">
        <w:rPr>
          <w:rFonts w:asciiTheme="majorBidi" w:eastAsia="UniversLTStd" w:hAnsiTheme="majorBidi" w:cstheme="majorBidi"/>
        </w:rPr>
        <w:t xml:space="preserve"> according to the International Conference on</w:t>
      </w:r>
      <w:r>
        <w:rPr>
          <w:rFonts w:asciiTheme="majorBidi" w:eastAsia="UniversLTStd" w:hAnsiTheme="majorBidi" w:cstheme="majorBidi"/>
        </w:rPr>
        <w:t xml:space="preserve"> </w:t>
      </w:r>
      <w:bookmarkStart w:id="0" w:name="_GoBack"/>
      <w:bookmarkEnd w:id="0"/>
      <w:r w:rsidRPr="005D0C6A">
        <w:rPr>
          <w:rFonts w:asciiTheme="majorBidi" w:eastAsia="UniversLTStd" w:hAnsiTheme="majorBidi" w:cstheme="majorBidi"/>
        </w:rPr>
        <w:t>Harmonization (ICH) guidelines and were applied for bulk powder and commercial tablets.</w:t>
      </w:r>
    </w:p>
    <w:sectPr w:rsidR="00BB6406" w:rsidRPr="005D0C6A" w:rsidSect="004A0E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LTSt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abonLTStd-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TSYN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6A"/>
    <w:rsid w:val="004A0E70"/>
    <w:rsid w:val="005D0C6A"/>
    <w:rsid w:val="00BB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85112-84FA-4D82-9B92-D8F088E4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Nesren</dc:creator>
  <cp:keywords/>
  <dc:description/>
  <cp:lastModifiedBy>Dr Nesren</cp:lastModifiedBy>
  <cp:revision>1</cp:revision>
  <dcterms:created xsi:type="dcterms:W3CDTF">2022-05-28T11:25:00Z</dcterms:created>
  <dcterms:modified xsi:type="dcterms:W3CDTF">2022-05-28T11:29:00Z</dcterms:modified>
</cp:coreProperties>
</file>