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F7" w:rsidRDefault="00752BAB" w:rsidP="00752BAB">
      <w:pPr>
        <w:bidi/>
        <w:jc w:val="center"/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</w:pPr>
      <w:r w:rsidRPr="00752BAB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>ورشة عمل الهابيتات "مجموعة أدوات الاستراتيجية المالية لتطوير الأحياء المتدهورة بالمشاركة"- تنظيم برنامج الأمم المتحدة للمستوطنات البشرية " الهابيتات" ووزارة الإسكان وصندوق تطوير المناطق العش</w:t>
      </w:r>
      <w:bookmarkStart w:id="0" w:name="_GoBack"/>
      <w:bookmarkEnd w:id="0"/>
      <w:r w:rsidRPr="00752BAB"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</w:rPr>
        <w:t>وائية - مقر الهابيتات بمصر 8-10 ابريل 2019م</w:t>
      </w:r>
      <w:r>
        <w:rPr>
          <w:rFonts w:ascii="Simplified Arabic" w:hAnsi="Simplified Arabic" w:cs="Simplified Arabic"/>
          <w:b/>
          <w:bCs/>
          <w:color w:val="002060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  <w:t xml:space="preserve"> بمشاركة العديد من الخبراء منهم د. محمد محمود يوسف المدرس بقسم التخطيط العمراني </w:t>
      </w:r>
      <w:r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  <w:t xml:space="preserve"> كلية التخطيط الإقليمي والعمراني </w:t>
      </w:r>
      <w:r>
        <w:rPr>
          <w:rFonts w:ascii="Simplified Arabic" w:hAnsi="Simplified Arabic" w:cs="Simplified Arabic"/>
          <w:b/>
          <w:bCs/>
          <w:color w:val="002060"/>
          <w:sz w:val="32"/>
          <w:szCs w:val="32"/>
          <w:rtl/>
          <w:lang w:bidi="ar-EG"/>
        </w:rPr>
        <w:t>–</w:t>
      </w:r>
      <w:r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  <w:t xml:space="preserve"> جامعة القاهرة خبير الاقتصاد العمراني وعضو الاتحاد العام للخبراء العرب.</w:t>
      </w:r>
    </w:p>
    <w:p w:rsidR="00752BAB" w:rsidRDefault="00752BAB" w:rsidP="00752BAB">
      <w:pPr>
        <w:bidi/>
        <w:jc w:val="center"/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</w:pPr>
      <w:r>
        <w:rPr>
          <w:rFonts w:ascii="Simplified Arabic" w:hAnsi="Simplified Arabic" w:cs="Simplified Arabic"/>
          <w:b/>
          <w:bCs/>
          <w:noProof/>
          <w:color w:val="002060"/>
          <w:sz w:val="32"/>
          <w:szCs w:val="32"/>
          <w:rtl/>
        </w:rPr>
        <w:drawing>
          <wp:inline distT="0" distB="0" distL="0" distR="0">
            <wp:extent cx="5486400" cy="3040997"/>
            <wp:effectExtent l="0" t="0" r="0" b="7620"/>
            <wp:docPr id="1" name="Picture 1" descr="C:\Users\s\Desktop\الهبيت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الهبيتات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4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BAB" w:rsidRDefault="00752BAB" w:rsidP="00752BAB">
      <w:pPr>
        <w:bidi/>
        <w:jc w:val="center"/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</w:pPr>
    </w:p>
    <w:p w:rsidR="00752BAB" w:rsidRDefault="00752BAB" w:rsidP="00752BAB">
      <w:pPr>
        <w:bidi/>
        <w:jc w:val="center"/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</w:pPr>
      <w:hyperlink r:id="rId6" w:history="1">
        <w:r w:rsidRPr="00C80D33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EG"/>
          </w:rPr>
          <w:t>https://scholar.cu.edu.eg/?q=mmyoussif</w:t>
        </w:r>
        <w:r w:rsidRPr="00C80D33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rtl/>
            <w:lang w:bidi="ar-EG"/>
          </w:rPr>
          <w:t>/</w:t>
        </w:r>
      </w:hyperlink>
    </w:p>
    <w:p w:rsidR="00752BAB" w:rsidRPr="00752BAB" w:rsidRDefault="00752BAB" w:rsidP="00752BAB">
      <w:pPr>
        <w:bidi/>
        <w:jc w:val="center"/>
        <w:rPr>
          <w:rFonts w:ascii="Simplified Arabic" w:hAnsi="Simplified Arabic" w:cs="Simplified Arabic" w:hint="cs"/>
          <w:b/>
          <w:bCs/>
          <w:color w:val="002060"/>
          <w:sz w:val="32"/>
          <w:szCs w:val="32"/>
          <w:rtl/>
          <w:lang w:bidi="ar-EG"/>
        </w:rPr>
      </w:pPr>
    </w:p>
    <w:sectPr w:rsidR="00752BAB" w:rsidRPr="00752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AB"/>
    <w:rsid w:val="000A71F7"/>
    <w:rsid w:val="0075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B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2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lar.cu.edu.eg/?q=mmyoussi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2019-04-15T22:52:00Z</dcterms:created>
  <dcterms:modified xsi:type="dcterms:W3CDTF">2019-04-15T22:56:00Z</dcterms:modified>
</cp:coreProperties>
</file>