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91" w:rsidRPr="00A51E91" w:rsidRDefault="00A51E91" w:rsidP="00A51E91">
      <w:pPr>
        <w:shd w:val="clear" w:color="auto" w:fill="FFFFFF"/>
        <w:spacing w:after="0" w:line="348" w:lineRule="atLeast"/>
        <w:rPr>
          <w:rFonts w:ascii="Arial" w:eastAsia="Times New Roman" w:hAnsi="Arial" w:cs="Arial"/>
          <w:color w:val="000000"/>
          <w:sz w:val="20"/>
          <w:szCs w:val="20"/>
        </w:rPr>
      </w:pPr>
      <w:r w:rsidRPr="00A51E91">
        <w:rPr>
          <w:rFonts w:ascii="Arial" w:eastAsia="Times New Roman" w:hAnsi="Arial" w:cs="Arial"/>
          <w:color w:val="000000"/>
          <w:sz w:val="20"/>
          <w:szCs w:val="20"/>
        </w:rPr>
        <w:fldChar w:fldCharType="begin"/>
      </w:r>
      <w:r w:rsidRPr="00A51E91">
        <w:rPr>
          <w:rFonts w:ascii="Arial" w:eastAsia="Times New Roman" w:hAnsi="Arial" w:cs="Arial"/>
          <w:color w:val="000000"/>
          <w:sz w:val="20"/>
          <w:szCs w:val="20"/>
        </w:rPr>
        <w:instrText xml:space="preserve"> HYPERLINK "http://www.ncbi.nlm.nih.gov/pubmed" \o "Journal of molecular recognition : JMR." </w:instrText>
      </w:r>
      <w:r w:rsidRPr="00A51E91">
        <w:rPr>
          <w:rFonts w:ascii="Arial" w:eastAsia="Times New Roman" w:hAnsi="Arial" w:cs="Arial"/>
          <w:color w:val="000000"/>
          <w:sz w:val="20"/>
          <w:szCs w:val="20"/>
        </w:rPr>
        <w:fldChar w:fldCharType="separate"/>
      </w:r>
      <w:proofErr w:type="gramStart"/>
      <w:r w:rsidRPr="00A51E91">
        <w:rPr>
          <w:rFonts w:ascii="Arial" w:eastAsia="Times New Roman" w:hAnsi="Arial" w:cs="Arial"/>
          <w:color w:val="660066"/>
          <w:sz w:val="20"/>
          <w:u w:val="single"/>
        </w:rPr>
        <w:t xml:space="preserve">J Mol </w:t>
      </w:r>
      <w:proofErr w:type="spellStart"/>
      <w:r w:rsidRPr="00A51E91">
        <w:rPr>
          <w:rFonts w:ascii="Arial" w:eastAsia="Times New Roman" w:hAnsi="Arial" w:cs="Arial"/>
          <w:color w:val="660066"/>
          <w:sz w:val="20"/>
          <w:u w:val="single"/>
        </w:rPr>
        <w:t>Recognit</w:t>
      </w:r>
      <w:proofErr w:type="spellEnd"/>
      <w:r w:rsidRPr="00A51E91">
        <w:rPr>
          <w:rFonts w:ascii="Arial" w:eastAsia="Times New Roman" w:hAnsi="Arial" w:cs="Arial"/>
          <w:color w:val="660066"/>
          <w:sz w:val="20"/>
          <w:u w:val="single"/>
        </w:rPr>
        <w:t>.</w:t>
      </w:r>
      <w:proofErr w:type="gramEnd"/>
      <w:r w:rsidRPr="00A51E91">
        <w:rPr>
          <w:rFonts w:ascii="Arial" w:eastAsia="Times New Roman" w:hAnsi="Arial" w:cs="Arial"/>
          <w:color w:val="000000"/>
          <w:sz w:val="20"/>
          <w:szCs w:val="20"/>
        </w:rPr>
        <w:fldChar w:fldCharType="end"/>
      </w:r>
      <w:r w:rsidRPr="00A51E91">
        <w:rPr>
          <w:rFonts w:ascii="Arial" w:eastAsia="Times New Roman" w:hAnsi="Arial" w:cs="Arial"/>
          <w:color w:val="000000"/>
          <w:sz w:val="20"/>
        </w:rPr>
        <w:t> </w:t>
      </w:r>
      <w:r w:rsidRPr="00A51E91">
        <w:rPr>
          <w:rFonts w:ascii="Arial" w:eastAsia="Times New Roman" w:hAnsi="Arial" w:cs="Arial"/>
          <w:color w:val="000000"/>
          <w:sz w:val="20"/>
          <w:szCs w:val="20"/>
        </w:rPr>
        <w:t>2011 Sep-Oct</w:t>
      </w:r>
      <w:proofErr w:type="gramStart"/>
      <w:r w:rsidRPr="00A51E91">
        <w:rPr>
          <w:rFonts w:ascii="Arial" w:eastAsia="Times New Roman" w:hAnsi="Arial" w:cs="Arial"/>
          <w:color w:val="000000"/>
          <w:sz w:val="20"/>
          <w:szCs w:val="20"/>
        </w:rPr>
        <w:t>;24</w:t>
      </w:r>
      <w:proofErr w:type="gramEnd"/>
      <w:r w:rsidRPr="00A51E91">
        <w:rPr>
          <w:rFonts w:ascii="Arial" w:eastAsia="Times New Roman" w:hAnsi="Arial" w:cs="Arial"/>
          <w:color w:val="000000"/>
          <w:sz w:val="20"/>
          <w:szCs w:val="20"/>
        </w:rPr>
        <w:t xml:space="preserve">(5):862-74. </w:t>
      </w:r>
      <w:proofErr w:type="spellStart"/>
      <w:proofErr w:type="gramStart"/>
      <w:r w:rsidRPr="00A51E91">
        <w:rPr>
          <w:rFonts w:ascii="Arial" w:eastAsia="Times New Roman" w:hAnsi="Arial" w:cs="Arial"/>
          <w:color w:val="000000"/>
          <w:sz w:val="20"/>
          <w:szCs w:val="20"/>
        </w:rPr>
        <w:t>doi</w:t>
      </w:r>
      <w:proofErr w:type="spellEnd"/>
      <w:proofErr w:type="gramEnd"/>
      <w:r w:rsidRPr="00A51E91">
        <w:rPr>
          <w:rFonts w:ascii="Arial" w:eastAsia="Times New Roman" w:hAnsi="Arial" w:cs="Arial"/>
          <w:color w:val="000000"/>
          <w:sz w:val="20"/>
          <w:szCs w:val="20"/>
        </w:rPr>
        <w:t>: 10.1002/jmr.1129.</w:t>
      </w:r>
    </w:p>
    <w:p w:rsidR="00A51E91" w:rsidRPr="00A51E91" w:rsidRDefault="00A51E91" w:rsidP="00A51E91">
      <w:pPr>
        <w:shd w:val="clear" w:color="auto" w:fill="FFFFFF"/>
        <w:spacing w:before="90" w:after="90" w:line="270" w:lineRule="atLeast"/>
        <w:outlineLvl w:val="0"/>
        <w:rPr>
          <w:rFonts w:ascii="Arial" w:eastAsia="Times New Roman" w:hAnsi="Arial" w:cs="Arial"/>
          <w:b/>
          <w:bCs/>
          <w:color w:val="000000"/>
          <w:kern w:val="36"/>
          <w:sz w:val="30"/>
          <w:szCs w:val="30"/>
        </w:rPr>
      </w:pPr>
      <w:hyperlink r:id="rId4" w:history="1">
        <w:r w:rsidRPr="00A51E91">
          <w:rPr>
            <w:rFonts w:ascii="Arial" w:eastAsia="Times New Roman" w:hAnsi="Arial" w:cs="Arial"/>
            <w:b/>
            <w:bCs/>
            <w:color w:val="660066"/>
            <w:kern w:val="36"/>
            <w:sz w:val="30"/>
            <w:u w:val="single"/>
          </w:rPr>
          <w:t xml:space="preserve">Generation, characterization, and docking studies of DNA-hydrolyzing recombinant </w:t>
        </w:r>
        <w:proofErr w:type="gramStart"/>
        <w:r w:rsidRPr="00A51E91">
          <w:rPr>
            <w:rFonts w:ascii="Arial" w:eastAsia="Times New Roman" w:hAnsi="Arial" w:cs="Arial"/>
            <w:b/>
            <w:bCs/>
            <w:color w:val="660066"/>
            <w:kern w:val="36"/>
            <w:sz w:val="30"/>
            <w:u w:val="single"/>
          </w:rPr>
          <w:t>F(</w:t>
        </w:r>
        <w:proofErr w:type="spellStart"/>
        <w:proofErr w:type="gramEnd"/>
        <w:r w:rsidRPr="00A51E91">
          <w:rPr>
            <w:rFonts w:ascii="Arial" w:eastAsia="Times New Roman" w:hAnsi="Arial" w:cs="Arial"/>
            <w:b/>
            <w:bCs/>
            <w:color w:val="660066"/>
            <w:kern w:val="36"/>
            <w:sz w:val="30"/>
            <w:u w:val="single"/>
          </w:rPr>
          <w:t>ab</w:t>
        </w:r>
        <w:proofErr w:type="spellEnd"/>
        <w:r w:rsidRPr="00A51E91">
          <w:rPr>
            <w:rFonts w:ascii="Arial" w:eastAsia="Times New Roman" w:hAnsi="Arial" w:cs="Arial"/>
            <w:b/>
            <w:bCs/>
            <w:color w:val="660066"/>
            <w:kern w:val="36"/>
            <w:sz w:val="30"/>
            <w:u w:val="single"/>
          </w:rPr>
          <w:t>) antibodies.</w:t>
        </w:r>
      </w:hyperlink>
    </w:p>
    <w:p w:rsidR="00A51E91" w:rsidRPr="00A51E91" w:rsidRDefault="00A51E91" w:rsidP="00A51E91">
      <w:pPr>
        <w:shd w:val="clear" w:color="auto" w:fill="FFFFFF"/>
        <w:spacing w:after="0" w:line="240" w:lineRule="auto"/>
        <w:rPr>
          <w:rFonts w:ascii="Arial" w:eastAsia="Times New Roman" w:hAnsi="Arial" w:cs="Arial"/>
          <w:color w:val="000000"/>
        </w:rPr>
      </w:pPr>
      <w:hyperlink r:id="rId5" w:history="1">
        <w:proofErr w:type="spellStart"/>
        <w:r w:rsidRPr="00A51E91">
          <w:rPr>
            <w:rFonts w:ascii="Arial" w:eastAsia="Times New Roman" w:hAnsi="Arial" w:cs="Arial"/>
            <w:color w:val="660066"/>
            <w:u w:val="single"/>
          </w:rPr>
          <w:t>Zein</w:t>
        </w:r>
        <w:proofErr w:type="spellEnd"/>
        <w:r w:rsidRPr="00A51E91">
          <w:rPr>
            <w:rFonts w:ascii="Arial" w:eastAsia="Times New Roman" w:hAnsi="Arial" w:cs="Arial"/>
            <w:color w:val="660066"/>
            <w:u w:val="single"/>
          </w:rPr>
          <w:t xml:space="preserve"> HS</w:t>
        </w:r>
      </w:hyperlink>
      <w:r w:rsidRPr="00A51E91">
        <w:rPr>
          <w:rFonts w:ascii="Arial" w:eastAsia="Times New Roman" w:hAnsi="Arial" w:cs="Arial"/>
          <w:color w:val="000000"/>
        </w:rPr>
        <w:t>, </w:t>
      </w:r>
      <w:hyperlink r:id="rId6" w:history="1">
        <w:r w:rsidRPr="00A51E91">
          <w:rPr>
            <w:rFonts w:ascii="Arial" w:eastAsia="Times New Roman" w:hAnsi="Arial" w:cs="Arial"/>
            <w:color w:val="660066"/>
            <w:u w:val="single"/>
          </w:rPr>
          <w:t>El-</w:t>
        </w:r>
        <w:proofErr w:type="spellStart"/>
        <w:r w:rsidRPr="00A51E91">
          <w:rPr>
            <w:rFonts w:ascii="Arial" w:eastAsia="Times New Roman" w:hAnsi="Arial" w:cs="Arial"/>
            <w:color w:val="660066"/>
            <w:u w:val="single"/>
          </w:rPr>
          <w:t>Sehemy</w:t>
        </w:r>
        <w:proofErr w:type="spellEnd"/>
        <w:r w:rsidRPr="00A51E91">
          <w:rPr>
            <w:rFonts w:ascii="Arial" w:eastAsia="Times New Roman" w:hAnsi="Arial" w:cs="Arial"/>
            <w:color w:val="660066"/>
            <w:u w:val="single"/>
          </w:rPr>
          <w:t xml:space="preserve"> AA</w:t>
        </w:r>
      </w:hyperlink>
      <w:r w:rsidRPr="00A51E91">
        <w:rPr>
          <w:rFonts w:ascii="Arial" w:eastAsia="Times New Roman" w:hAnsi="Arial" w:cs="Arial"/>
          <w:color w:val="000000"/>
        </w:rPr>
        <w:t>, </w:t>
      </w:r>
      <w:hyperlink r:id="rId7" w:history="1">
        <w:r w:rsidRPr="00A51E91">
          <w:rPr>
            <w:rFonts w:ascii="Arial" w:eastAsia="Times New Roman" w:hAnsi="Arial" w:cs="Arial"/>
            <w:color w:val="660066"/>
            <w:u w:val="single"/>
          </w:rPr>
          <w:t>Fares MO</w:t>
        </w:r>
      </w:hyperlink>
      <w:r w:rsidRPr="00A51E91">
        <w:rPr>
          <w:rFonts w:ascii="Arial" w:eastAsia="Times New Roman" w:hAnsi="Arial" w:cs="Arial"/>
          <w:color w:val="000000"/>
        </w:rPr>
        <w:t>, </w:t>
      </w:r>
      <w:proofErr w:type="spellStart"/>
      <w:r w:rsidRPr="00A51E91">
        <w:rPr>
          <w:rFonts w:ascii="Arial" w:eastAsia="Times New Roman" w:hAnsi="Arial" w:cs="Arial"/>
          <w:color w:val="000000"/>
        </w:rPr>
        <w:fldChar w:fldCharType="begin"/>
      </w:r>
      <w:r w:rsidRPr="00A51E91">
        <w:rPr>
          <w:rFonts w:ascii="Arial" w:eastAsia="Times New Roman" w:hAnsi="Arial" w:cs="Arial"/>
          <w:color w:val="000000"/>
        </w:rPr>
        <w:instrText xml:space="preserve"> HYPERLINK "http://www.ncbi.nlm.nih.gov/pubmed?term=ElHefnawi%20M%5BAuthor%5D&amp;cauthor=true&amp;cauthor_uid=23479228" </w:instrText>
      </w:r>
      <w:r w:rsidRPr="00A51E91">
        <w:rPr>
          <w:rFonts w:ascii="Arial" w:eastAsia="Times New Roman" w:hAnsi="Arial" w:cs="Arial"/>
          <w:color w:val="000000"/>
        </w:rPr>
        <w:fldChar w:fldCharType="separate"/>
      </w:r>
      <w:r w:rsidRPr="00A51E91">
        <w:rPr>
          <w:rFonts w:ascii="Arial" w:eastAsia="Times New Roman" w:hAnsi="Arial" w:cs="Arial"/>
          <w:color w:val="660066"/>
          <w:u w:val="single"/>
        </w:rPr>
        <w:t>ElHefnawi</w:t>
      </w:r>
      <w:proofErr w:type="spellEnd"/>
      <w:r w:rsidRPr="00A51E91">
        <w:rPr>
          <w:rFonts w:ascii="Arial" w:eastAsia="Times New Roman" w:hAnsi="Arial" w:cs="Arial"/>
          <w:color w:val="660066"/>
          <w:u w:val="single"/>
        </w:rPr>
        <w:t xml:space="preserve"> M</w:t>
      </w:r>
      <w:r w:rsidRPr="00A51E91">
        <w:rPr>
          <w:rFonts w:ascii="Arial" w:eastAsia="Times New Roman" w:hAnsi="Arial" w:cs="Arial"/>
          <w:color w:val="000000"/>
        </w:rPr>
        <w:fldChar w:fldCharType="end"/>
      </w:r>
      <w:r w:rsidRPr="00A51E91">
        <w:rPr>
          <w:rFonts w:ascii="Arial" w:eastAsia="Times New Roman" w:hAnsi="Arial" w:cs="Arial"/>
          <w:color w:val="000000"/>
        </w:rPr>
        <w:t>, </w:t>
      </w:r>
      <w:proofErr w:type="spellStart"/>
      <w:r w:rsidRPr="00A51E91">
        <w:rPr>
          <w:rFonts w:ascii="Arial" w:eastAsia="Times New Roman" w:hAnsi="Arial" w:cs="Arial"/>
          <w:color w:val="000000"/>
        </w:rPr>
        <w:fldChar w:fldCharType="begin"/>
      </w:r>
      <w:r w:rsidRPr="00A51E91">
        <w:rPr>
          <w:rFonts w:ascii="Arial" w:eastAsia="Times New Roman" w:hAnsi="Arial" w:cs="Arial"/>
          <w:color w:val="000000"/>
        </w:rPr>
        <w:instrText xml:space="preserve"> HYPERLINK "http://www.ncbi.nlm.nih.gov/pubmed?term=da%20Silva%20JA%5BAuthor%5D&amp;cauthor=true&amp;cauthor_uid=23479228" </w:instrText>
      </w:r>
      <w:r w:rsidRPr="00A51E91">
        <w:rPr>
          <w:rFonts w:ascii="Arial" w:eastAsia="Times New Roman" w:hAnsi="Arial" w:cs="Arial"/>
          <w:color w:val="000000"/>
        </w:rPr>
        <w:fldChar w:fldCharType="separate"/>
      </w:r>
      <w:r w:rsidRPr="00A51E91">
        <w:rPr>
          <w:rFonts w:ascii="Arial" w:eastAsia="Times New Roman" w:hAnsi="Arial" w:cs="Arial"/>
          <w:color w:val="660066"/>
          <w:u w:val="single"/>
        </w:rPr>
        <w:t>da</w:t>
      </w:r>
      <w:proofErr w:type="spellEnd"/>
      <w:r w:rsidRPr="00A51E91">
        <w:rPr>
          <w:rFonts w:ascii="Arial" w:eastAsia="Times New Roman" w:hAnsi="Arial" w:cs="Arial"/>
          <w:color w:val="660066"/>
          <w:u w:val="single"/>
        </w:rPr>
        <w:t xml:space="preserve"> Silva JA</w:t>
      </w:r>
      <w:r w:rsidRPr="00A51E91">
        <w:rPr>
          <w:rFonts w:ascii="Arial" w:eastAsia="Times New Roman" w:hAnsi="Arial" w:cs="Arial"/>
          <w:color w:val="000000"/>
        </w:rPr>
        <w:fldChar w:fldCharType="end"/>
      </w:r>
      <w:r w:rsidRPr="00A51E91">
        <w:rPr>
          <w:rFonts w:ascii="Arial" w:eastAsia="Times New Roman" w:hAnsi="Arial" w:cs="Arial"/>
          <w:color w:val="000000"/>
        </w:rPr>
        <w:t>, </w:t>
      </w:r>
      <w:proofErr w:type="spellStart"/>
      <w:r w:rsidRPr="00A51E91">
        <w:rPr>
          <w:rFonts w:ascii="Arial" w:eastAsia="Times New Roman" w:hAnsi="Arial" w:cs="Arial"/>
          <w:color w:val="000000"/>
        </w:rPr>
        <w:fldChar w:fldCharType="begin"/>
      </w:r>
      <w:r w:rsidRPr="00A51E91">
        <w:rPr>
          <w:rFonts w:ascii="Arial" w:eastAsia="Times New Roman" w:hAnsi="Arial" w:cs="Arial"/>
          <w:color w:val="000000"/>
        </w:rPr>
        <w:instrText xml:space="preserve"> HYPERLINK "http://www.ncbi.nlm.nih.gov/pubmed?term=Miyatake%20K%5BAuthor%5D&amp;cauthor=true&amp;cauthor_uid=23479228" </w:instrText>
      </w:r>
      <w:r w:rsidRPr="00A51E91">
        <w:rPr>
          <w:rFonts w:ascii="Arial" w:eastAsia="Times New Roman" w:hAnsi="Arial" w:cs="Arial"/>
          <w:color w:val="000000"/>
        </w:rPr>
        <w:fldChar w:fldCharType="separate"/>
      </w:r>
      <w:r w:rsidRPr="00A51E91">
        <w:rPr>
          <w:rFonts w:ascii="Arial" w:eastAsia="Times New Roman" w:hAnsi="Arial" w:cs="Arial"/>
          <w:color w:val="660066"/>
          <w:u w:val="single"/>
        </w:rPr>
        <w:t>Miyatake</w:t>
      </w:r>
      <w:proofErr w:type="spellEnd"/>
      <w:r w:rsidRPr="00A51E91">
        <w:rPr>
          <w:rFonts w:ascii="Arial" w:eastAsia="Times New Roman" w:hAnsi="Arial" w:cs="Arial"/>
          <w:color w:val="660066"/>
          <w:u w:val="single"/>
        </w:rPr>
        <w:t xml:space="preserve"> K</w:t>
      </w:r>
      <w:r w:rsidRPr="00A51E91">
        <w:rPr>
          <w:rFonts w:ascii="Arial" w:eastAsia="Times New Roman" w:hAnsi="Arial" w:cs="Arial"/>
          <w:color w:val="000000"/>
        </w:rPr>
        <w:fldChar w:fldCharType="end"/>
      </w:r>
      <w:r w:rsidRPr="00A51E91">
        <w:rPr>
          <w:rFonts w:ascii="Arial" w:eastAsia="Times New Roman" w:hAnsi="Arial" w:cs="Arial"/>
          <w:color w:val="000000"/>
        </w:rPr>
        <w:t>.</w:t>
      </w:r>
    </w:p>
    <w:p w:rsidR="00A51E91" w:rsidRPr="00A51E91" w:rsidRDefault="00A51E91" w:rsidP="00A51E91">
      <w:pPr>
        <w:shd w:val="clear" w:color="auto" w:fill="FFFFFF"/>
        <w:spacing w:before="308" w:after="154" w:line="240" w:lineRule="auto"/>
        <w:outlineLvl w:val="2"/>
        <w:rPr>
          <w:rFonts w:ascii="Arial" w:eastAsia="Times New Roman" w:hAnsi="Arial" w:cs="Arial"/>
          <w:b/>
          <w:bCs/>
          <w:color w:val="724128"/>
        </w:rPr>
      </w:pPr>
      <w:r w:rsidRPr="00A51E91">
        <w:rPr>
          <w:rFonts w:ascii="Arial" w:eastAsia="Times New Roman" w:hAnsi="Arial" w:cs="Arial"/>
          <w:b/>
          <w:bCs/>
          <w:color w:val="724128"/>
        </w:rPr>
        <w:t>Source</w:t>
      </w:r>
    </w:p>
    <w:p w:rsidR="00A51E91" w:rsidRPr="00A51E91" w:rsidRDefault="00A51E91" w:rsidP="00A51E91">
      <w:pPr>
        <w:shd w:val="clear" w:color="auto" w:fill="FFFFFF"/>
        <w:spacing w:before="120" w:after="120" w:line="262" w:lineRule="atLeast"/>
        <w:rPr>
          <w:rFonts w:ascii="Arial" w:eastAsia="Times New Roman" w:hAnsi="Arial" w:cs="Arial"/>
          <w:color w:val="000000"/>
          <w:sz w:val="20"/>
          <w:szCs w:val="20"/>
        </w:rPr>
      </w:pPr>
      <w:proofErr w:type="gramStart"/>
      <w:r w:rsidRPr="00A51E91">
        <w:rPr>
          <w:rFonts w:ascii="Arial" w:eastAsia="Times New Roman" w:hAnsi="Arial" w:cs="Arial"/>
          <w:color w:val="000000"/>
          <w:sz w:val="20"/>
          <w:szCs w:val="20"/>
        </w:rPr>
        <w:t>Department of Genetics, Faculty of Agriculture, Cairo University, 12 Gamma Street, Giza 12613, Egypt.</w:t>
      </w:r>
      <w:proofErr w:type="gramEnd"/>
      <w:r w:rsidRPr="00A51E91">
        <w:rPr>
          <w:rFonts w:ascii="Arial" w:eastAsia="Times New Roman" w:hAnsi="Arial" w:cs="Arial"/>
          <w:color w:val="000000"/>
          <w:sz w:val="20"/>
          <w:szCs w:val="20"/>
        </w:rPr>
        <w:t xml:space="preserve"> drzein@cu.edu.eg</w:t>
      </w:r>
    </w:p>
    <w:p w:rsidR="00A51E91" w:rsidRPr="00A51E91" w:rsidRDefault="00A51E91" w:rsidP="00A51E91">
      <w:pPr>
        <w:shd w:val="clear" w:color="auto" w:fill="FFFFFF"/>
        <w:spacing w:after="0" w:line="240" w:lineRule="auto"/>
        <w:outlineLvl w:val="2"/>
        <w:rPr>
          <w:rFonts w:ascii="Arial" w:eastAsia="Times New Roman" w:hAnsi="Arial" w:cs="Arial"/>
          <w:b/>
          <w:bCs/>
          <w:color w:val="985735"/>
          <w:sz w:val="15"/>
          <w:szCs w:val="15"/>
        </w:rPr>
      </w:pPr>
      <w:r w:rsidRPr="00A51E91">
        <w:rPr>
          <w:rFonts w:ascii="Arial" w:eastAsia="Times New Roman" w:hAnsi="Arial" w:cs="Arial"/>
          <w:b/>
          <w:bCs/>
          <w:color w:val="985735"/>
          <w:sz w:val="15"/>
          <w:szCs w:val="15"/>
        </w:rPr>
        <w:t>Abstract</w:t>
      </w:r>
    </w:p>
    <w:p w:rsidR="00A51E91" w:rsidRPr="00A51E91" w:rsidRDefault="00A51E91" w:rsidP="00A51E91">
      <w:pPr>
        <w:shd w:val="clear" w:color="auto" w:fill="FFFFFF"/>
        <w:spacing w:after="120" w:line="183" w:lineRule="atLeast"/>
        <w:rPr>
          <w:rFonts w:ascii="Arial" w:eastAsia="Times New Roman" w:hAnsi="Arial" w:cs="Arial"/>
          <w:color w:val="000000"/>
          <w:sz w:val="14"/>
          <w:szCs w:val="14"/>
        </w:rPr>
      </w:pPr>
      <w:r w:rsidRPr="00A51E91">
        <w:rPr>
          <w:rFonts w:ascii="Arial" w:eastAsia="Times New Roman" w:hAnsi="Arial" w:cs="Arial"/>
          <w:color w:val="000000"/>
          <w:sz w:val="14"/>
          <w:szCs w:val="14"/>
        </w:rPr>
        <w:t>Previously we established a series of catalytic antibodies (</w:t>
      </w:r>
      <w:proofErr w:type="spellStart"/>
      <w:r w:rsidRPr="00A51E91">
        <w:rPr>
          <w:rFonts w:ascii="Arial" w:eastAsia="Times New Roman" w:hAnsi="Arial" w:cs="Arial"/>
          <w:color w:val="000000"/>
          <w:sz w:val="14"/>
          <w:szCs w:val="14"/>
        </w:rPr>
        <w:t>catAbs</w:t>
      </w:r>
      <w:proofErr w:type="spellEnd"/>
      <w:r w:rsidRPr="00A51E91">
        <w:rPr>
          <w:rFonts w:ascii="Arial" w:eastAsia="Times New Roman" w:hAnsi="Arial" w:cs="Arial"/>
          <w:color w:val="000000"/>
          <w:sz w:val="14"/>
          <w:szCs w:val="14"/>
        </w:rPr>
        <w:t xml:space="preserve">) capable of hydrolyzing DNA prepared by </w:t>
      </w:r>
      <w:proofErr w:type="spellStart"/>
      <w:r w:rsidRPr="00A51E91">
        <w:rPr>
          <w:rFonts w:ascii="Arial" w:eastAsia="Times New Roman" w:hAnsi="Arial" w:cs="Arial"/>
          <w:color w:val="000000"/>
          <w:sz w:val="14"/>
          <w:szCs w:val="14"/>
        </w:rPr>
        <w:t>hybridoma</w:t>
      </w:r>
      <w:proofErr w:type="spellEnd"/>
      <w:r w:rsidRPr="00A51E91">
        <w:rPr>
          <w:rFonts w:ascii="Arial" w:eastAsia="Times New Roman" w:hAnsi="Arial" w:cs="Arial"/>
          <w:color w:val="000000"/>
          <w:sz w:val="14"/>
          <w:szCs w:val="14"/>
        </w:rPr>
        <w:t xml:space="preserve"> technology. A group of these </w:t>
      </w:r>
      <w:proofErr w:type="spellStart"/>
      <w:r w:rsidRPr="00A51E91">
        <w:rPr>
          <w:rFonts w:ascii="Arial" w:eastAsia="Times New Roman" w:hAnsi="Arial" w:cs="Arial"/>
          <w:color w:val="000000"/>
          <w:sz w:val="14"/>
          <w:szCs w:val="14"/>
        </w:rPr>
        <w:t>catAbs</w:t>
      </w:r>
      <w:proofErr w:type="spellEnd"/>
      <w:r w:rsidRPr="00A51E91">
        <w:rPr>
          <w:rFonts w:ascii="Arial" w:eastAsia="Times New Roman" w:hAnsi="Arial" w:cs="Arial"/>
          <w:color w:val="000000"/>
          <w:sz w:val="14"/>
          <w:szCs w:val="14"/>
        </w:rPr>
        <w:t xml:space="preserve"> exhibited high reactivity and substrate specificity. To determine the molecular basis for these </w:t>
      </w:r>
      <w:proofErr w:type="spellStart"/>
      <w:r w:rsidRPr="00A51E91">
        <w:rPr>
          <w:rFonts w:ascii="Arial" w:eastAsia="Times New Roman" w:hAnsi="Arial" w:cs="Arial"/>
          <w:color w:val="000000"/>
          <w:sz w:val="14"/>
          <w:szCs w:val="14"/>
        </w:rPr>
        <w:t>catAbs</w:t>
      </w:r>
      <w:proofErr w:type="spellEnd"/>
      <w:r w:rsidRPr="00A51E91">
        <w:rPr>
          <w:rFonts w:ascii="Arial" w:eastAsia="Times New Roman" w:hAnsi="Arial" w:cs="Arial"/>
          <w:color w:val="000000"/>
          <w:sz w:val="14"/>
          <w:szCs w:val="14"/>
        </w:rPr>
        <w:t xml:space="preserve">, we cloned, sequenced, and expressed the variable regions of this group of antibodies as functional </w:t>
      </w:r>
      <w:proofErr w:type="gramStart"/>
      <w:r w:rsidRPr="00A51E91">
        <w:rPr>
          <w:rFonts w:ascii="Arial" w:eastAsia="Times New Roman" w:hAnsi="Arial" w:cs="Arial"/>
          <w:color w:val="000000"/>
          <w:sz w:val="14"/>
          <w:szCs w:val="14"/>
        </w:rPr>
        <w:t>F(</w:t>
      </w:r>
      <w:proofErr w:type="spellStart"/>
      <w:proofErr w:type="gramEnd"/>
      <w:r w:rsidRPr="00A51E91">
        <w:rPr>
          <w:rFonts w:ascii="Arial" w:eastAsia="Times New Roman" w:hAnsi="Arial" w:cs="Arial"/>
          <w:color w:val="000000"/>
          <w:sz w:val="14"/>
          <w:szCs w:val="14"/>
        </w:rPr>
        <w:t>ab</w:t>
      </w:r>
      <w:proofErr w:type="spellEnd"/>
      <w:r w:rsidRPr="00A51E91">
        <w:rPr>
          <w:rFonts w:ascii="Arial" w:eastAsia="Times New Roman" w:hAnsi="Arial" w:cs="Arial"/>
          <w:color w:val="000000"/>
          <w:sz w:val="14"/>
          <w:szCs w:val="14"/>
        </w:rPr>
        <w:t>) fragments. The nucleotide and deduced amino acid sequences of the expressed light chain (</w:t>
      </w:r>
      <w:proofErr w:type="spellStart"/>
      <w:r w:rsidRPr="00A51E91">
        <w:rPr>
          <w:rFonts w:ascii="Arial" w:eastAsia="Times New Roman" w:hAnsi="Arial" w:cs="Arial"/>
          <w:color w:val="000000"/>
          <w:sz w:val="14"/>
          <w:szCs w:val="14"/>
        </w:rPr>
        <w:t>Vκ</w:t>
      </w:r>
      <w:proofErr w:type="spellEnd"/>
      <w:r w:rsidRPr="00A51E91">
        <w:rPr>
          <w:rFonts w:ascii="Arial" w:eastAsia="Times New Roman" w:hAnsi="Arial" w:cs="Arial"/>
          <w:color w:val="000000"/>
          <w:sz w:val="14"/>
          <w:szCs w:val="14"/>
        </w:rPr>
        <w:t xml:space="preserve">) </w:t>
      </w:r>
      <w:proofErr w:type="spellStart"/>
      <w:r w:rsidRPr="00A51E91">
        <w:rPr>
          <w:rFonts w:ascii="Arial" w:eastAsia="Times New Roman" w:hAnsi="Arial" w:cs="Arial"/>
          <w:color w:val="000000"/>
          <w:sz w:val="14"/>
          <w:szCs w:val="14"/>
        </w:rPr>
        <w:t>germline</w:t>
      </w:r>
      <w:proofErr w:type="spellEnd"/>
      <w:r w:rsidRPr="00A51E91">
        <w:rPr>
          <w:rFonts w:ascii="Arial" w:eastAsia="Times New Roman" w:hAnsi="Arial" w:cs="Arial"/>
          <w:color w:val="000000"/>
          <w:sz w:val="14"/>
          <w:szCs w:val="14"/>
        </w:rPr>
        <w:t xml:space="preserve"> gene assignments confidently belonged to </w:t>
      </w:r>
      <w:proofErr w:type="spellStart"/>
      <w:r w:rsidRPr="00A51E91">
        <w:rPr>
          <w:rFonts w:ascii="Arial" w:eastAsia="Times New Roman" w:hAnsi="Arial" w:cs="Arial"/>
          <w:color w:val="000000"/>
          <w:sz w:val="14"/>
          <w:szCs w:val="14"/>
        </w:rPr>
        <w:t>germline</w:t>
      </w:r>
      <w:proofErr w:type="spellEnd"/>
      <w:r w:rsidRPr="00A51E91">
        <w:rPr>
          <w:rFonts w:ascii="Arial" w:eastAsia="Times New Roman" w:hAnsi="Arial" w:cs="Arial"/>
          <w:color w:val="000000"/>
          <w:sz w:val="14"/>
          <w:szCs w:val="14"/>
        </w:rPr>
        <w:t xml:space="preserve"> family Vκ1A, gene bb1.1 and </w:t>
      </w:r>
      <w:proofErr w:type="spellStart"/>
      <w:r w:rsidRPr="00A51E91">
        <w:rPr>
          <w:rFonts w:ascii="Arial" w:eastAsia="Times New Roman" w:hAnsi="Arial" w:cs="Arial"/>
          <w:color w:val="000000"/>
          <w:sz w:val="14"/>
          <w:szCs w:val="14"/>
        </w:rPr>
        <w:t>GenBank</w:t>
      </w:r>
      <w:proofErr w:type="spellEnd"/>
      <w:r w:rsidRPr="00A51E91">
        <w:rPr>
          <w:rFonts w:ascii="Arial" w:eastAsia="Times New Roman" w:hAnsi="Arial" w:cs="Arial"/>
          <w:color w:val="000000"/>
          <w:sz w:val="14"/>
          <w:szCs w:val="14"/>
        </w:rPr>
        <w:t xml:space="preserve"> accession number EF672207 while heavy chain variable region V(H) genes belonged to V(H) 1/V(H) J558, gene V130.3 and </w:t>
      </w:r>
      <w:proofErr w:type="spellStart"/>
      <w:r w:rsidRPr="00A51E91">
        <w:rPr>
          <w:rFonts w:ascii="Arial" w:eastAsia="Times New Roman" w:hAnsi="Arial" w:cs="Arial"/>
          <w:color w:val="000000"/>
          <w:sz w:val="14"/>
          <w:szCs w:val="14"/>
        </w:rPr>
        <w:t>GenBank</w:t>
      </w:r>
      <w:proofErr w:type="spellEnd"/>
      <w:r w:rsidRPr="00A51E91">
        <w:rPr>
          <w:rFonts w:ascii="Arial" w:eastAsia="Times New Roman" w:hAnsi="Arial" w:cs="Arial"/>
          <w:color w:val="000000"/>
          <w:sz w:val="14"/>
          <w:szCs w:val="14"/>
        </w:rPr>
        <w:t xml:space="preserve"> accession number EF672221. A well-established expression system based on the pARA7 vector was examined for its ability to produce catalytically active antibodies. Recombinant </w:t>
      </w:r>
      <w:proofErr w:type="gramStart"/>
      <w:r w:rsidRPr="00A51E91">
        <w:rPr>
          <w:rFonts w:ascii="Arial" w:eastAsia="Times New Roman" w:hAnsi="Arial" w:cs="Arial"/>
          <w:color w:val="000000"/>
          <w:sz w:val="14"/>
          <w:szCs w:val="14"/>
        </w:rPr>
        <w:t>F(</w:t>
      </w:r>
      <w:proofErr w:type="spellStart"/>
      <w:proofErr w:type="gramEnd"/>
      <w:r w:rsidRPr="00A51E91">
        <w:rPr>
          <w:rFonts w:ascii="Arial" w:eastAsia="Times New Roman" w:hAnsi="Arial" w:cs="Arial"/>
          <w:color w:val="000000"/>
          <w:sz w:val="14"/>
          <w:szCs w:val="14"/>
        </w:rPr>
        <w:t>ab</w:t>
      </w:r>
      <w:proofErr w:type="spellEnd"/>
      <w:r w:rsidRPr="00A51E91">
        <w:rPr>
          <w:rFonts w:ascii="Arial" w:eastAsia="Times New Roman" w:hAnsi="Arial" w:cs="Arial"/>
          <w:color w:val="000000"/>
          <w:sz w:val="14"/>
          <w:szCs w:val="14"/>
        </w:rPr>
        <w:t>) (</w:t>
      </w:r>
      <w:proofErr w:type="spellStart"/>
      <w:r w:rsidRPr="00A51E91">
        <w:rPr>
          <w:rFonts w:ascii="Arial" w:eastAsia="Times New Roman" w:hAnsi="Arial" w:cs="Arial"/>
          <w:color w:val="000000"/>
          <w:sz w:val="14"/>
          <w:szCs w:val="14"/>
        </w:rPr>
        <w:t>rF</w:t>
      </w:r>
      <w:proofErr w:type="spellEnd"/>
      <w:r w:rsidRPr="00A51E91">
        <w:rPr>
          <w:rFonts w:ascii="Arial" w:eastAsia="Times New Roman" w:hAnsi="Arial" w:cs="Arial"/>
          <w:color w:val="000000"/>
          <w:sz w:val="14"/>
          <w:szCs w:val="14"/>
        </w:rPr>
        <w:t>(</w:t>
      </w:r>
      <w:proofErr w:type="spellStart"/>
      <w:r w:rsidRPr="00A51E91">
        <w:rPr>
          <w:rFonts w:ascii="Arial" w:eastAsia="Times New Roman" w:hAnsi="Arial" w:cs="Arial"/>
          <w:color w:val="000000"/>
          <w:sz w:val="14"/>
          <w:szCs w:val="14"/>
        </w:rPr>
        <w:t>ab</w:t>
      </w:r>
      <w:proofErr w:type="spellEnd"/>
      <w:r w:rsidRPr="00A51E91">
        <w:rPr>
          <w:rFonts w:ascii="Arial" w:eastAsia="Times New Roman" w:hAnsi="Arial" w:cs="Arial"/>
          <w:color w:val="000000"/>
          <w:sz w:val="14"/>
          <w:szCs w:val="14"/>
        </w:rPr>
        <w:t xml:space="preserve">) ) fragments were purified and their hydrolyzing activity was analyzed against </w:t>
      </w:r>
      <w:proofErr w:type="spellStart"/>
      <w:r w:rsidRPr="00A51E91">
        <w:rPr>
          <w:rFonts w:ascii="Arial" w:eastAsia="Times New Roman" w:hAnsi="Arial" w:cs="Arial"/>
          <w:color w:val="000000"/>
          <w:sz w:val="14"/>
          <w:szCs w:val="14"/>
        </w:rPr>
        <w:t>supercoiled</w:t>
      </w:r>
      <w:proofErr w:type="spellEnd"/>
      <w:r w:rsidRPr="00A51E91">
        <w:rPr>
          <w:rFonts w:ascii="Arial" w:eastAsia="Times New Roman" w:hAnsi="Arial" w:cs="Arial"/>
          <w:color w:val="000000"/>
          <w:sz w:val="14"/>
          <w:szCs w:val="14"/>
        </w:rPr>
        <w:t xml:space="preserve"> pUC19 plasmid DNA (</w:t>
      </w:r>
      <w:proofErr w:type="spellStart"/>
      <w:r w:rsidRPr="00A51E91">
        <w:rPr>
          <w:rFonts w:ascii="Arial" w:eastAsia="Times New Roman" w:hAnsi="Arial" w:cs="Arial"/>
          <w:color w:val="000000"/>
          <w:sz w:val="14"/>
          <w:szCs w:val="14"/>
        </w:rPr>
        <w:t>scDNA</w:t>
      </w:r>
      <w:proofErr w:type="spellEnd"/>
      <w:r w:rsidRPr="00A51E91">
        <w:rPr>
          <w:rFonts w:ascii="Arial" w:eastAsia="Times New Roman" w:hAnsi="Arial" w:cs="Arial"/>
          <w:color w:val="000000"/>
          <w:sz w:val="14"/>
          <w:szCs w:val="14"/>
        </w:rPr>
        <w:t xml:space="preserve">). The study of </w:t>
      </w:r>
      <w:proofErr w:type="spellStart"/>
      <w:proofErr w:type="gramStart"/>
      <w:r w:rsidRPr="00A51E91">
        <w:rPr>
          <w:rFonts w:ascii="Arial" w:eastAsia="Times New Roman" w:hAnsi="Arial" w:cs="Arial"/>
          <w:color w:val="000000"/>
          <w:sz w:val="14"/>
          <w:szCs w:val="14"/>
        </w:rPr>
        <w:t>rF</w:t>
      </w:r>
      <w:proofErr w:type="spellEnd"/>
      <w:r w:rsidRPr="00A51E91">
        <w:rPr>
          <w:rFonts w:ascii="Arial" w:eastAsia="Times New Roman" w:hAnsi="Arial" w:cs="Arial"/>
          <w:color w:val="000000"/>
          <w:sz w:val="14"/>
          <w:szCs w:val="14"/>
        </w:rPr>
        <w:t>(</w:t>
      </w:r>
      <w:proofErr w:type="spellStart"/>
      <w:proofErr w:type="gramEnd"/>
      <w:r w:rsidRPr="00A51E91">
        <w:rPr>
          <w:rFonts w:ascii="Arial" w:eastAsia="Times New Roman" w:hAnsi="Arial" w:cs="Arial"/>
          <w:color w:val="000000"/>
          <w:sz w:val="14"/>
          <w:szCs w:val="14"/>
        </w:rPr>
        <w:t>ab</w:t>
      </w:r>
      <w:proofErr w:type="spellEnd"/>
      <w:r w:rsidRPr="00A51E91">
        <w:rPr>
          <w:rFonts w:ascii="Arial" w:eastAsia="Times New Roman" w:hAnsi="Arial" w:cs="Arial"/>
          <w:color w:val="000000"/>
          <w:sz w:val="14"/>
          <w:szCs w:val="14"/>
        </w:rPr>
        <w:t xml:space="preserve">) provides important information about the potential catalytic activities of antibodies whose structure allows us to understand their basis of catalysis. Molecular surface analysis and docking studies were performed on the molecular interactions between the antibodies and </w:t>
      </w:r>
      <w:proofErr w:type="gramStart"/>
      <w:r w:rsidRPr="00A51E91">
        <w:rPr>
          <w:rFonts w:ascii="Arial" w:eastAsia="Times New Roman" w:hAnsi="Arial" w:cs="Arial"/>
          <w:color w:val="000000"/>
          <w:sz w:val="14"/>
          <w:szCs w:val="14"/>
        </w:rPr>
        <w:t>poly(</w:t>
      </w:r>
      <w:proofErr w:type="gramEnd"/>
      <w:r w:rsidRPr="00A51E91">
        <w:rPr>
          <w:rFonts w:ascii="Arial" w:eastAsia="Times New Roman" w:hAnsi="Arial" w:cs="Arial"/>
          <w:color w:val="000000"/>
          <w:sz w:val="14"/>
          <w:szCs w:val="14"/>
        </w:rPr>
        <w:t xml:space="preserve">dA9), poly(dG9), poly(dT9), and poly(dC9) </w:t>
      </w:r>
      <w:proofErr w:type="spellStart"/>
      <w:r w:rsidRPr="00A51E91">
        <w:rPr>
          <w:rFonts w:ascii="Arial" w:eastAsia="Times New Roman" w:hAnsi="Arial" w:cs="Arial"/>
          <w:color w:val="000000"/>
          <w:sz w:val="14"/>
          <w:szCs w:val="14"/>
        </w:rPr>
        <w:t>oligomers</w:t>
      </w:r>
      <w:proofErr w:type="spellEnd"/>
      <w:r w:rsidRPr="00A51E91">
        <w:rPr>
          <w:rFonts w:ascii="Arial" w:eastAsia="Times New Roman" w:hAnsi="Arial" w:cs="Arial"/>
          <w:color w:val="000000"/>
          <w:sz w:val="14"/>
          <w:szCs w:val="14"/>
        </w:rPr>
        <w:t xml:space="preserve">. Surface analysis identified the important sequence motifs at the binding sites, and different effects exerted by </w:t>
      </w:r>
      <w:proofErr w:type="spellStart"/>
      <w:r w:rsidRPr="00A51E91">
        <w:rPr>
          <w:rFonts w:ascii="Arial" w:eastAsia="Times New Roman" w:hAnsi="Arial" w:cs="Arial"/>
          <w:color w:val="000000"/>
          <w:sz w:val="14"/>
          <w:szCs w:val="14"/>
        </w:rPr>
        <w:t>arginine</w:t>
      </w:r>
      <w:proofErr w:type="spellEnd"/>
      <w:r w:rsidRPr="00A51E91">
        <w:rPr>
          <w:rFonts w:ascii="Arial" w:eastAsia="Times New Roman" w:hAnsi="Arial" w:cs="Arial"/>
          <w:color w:val="000000"/>
          <w:sz w:val="14"/>
          <w:szCs w:val="14"/>
        </w:rPr>
        <w:t xml:space="preserve"> and tyrosine residues at different positions in the light and heavy chains. This study demonstrates the potential usefulness of the protein DNA surrogate in the investigation of the origin of anti-DNA antibodies. These studies may define important features of DNA </w:t>
      </w:r>
      <w:proofErr w:type="spellStart"/>
      <w:r w:rsidRPr="00A51E91">
        <w:rPr>
          <w:rFonts w:ascii="Arial" w:eastAsia="Times New Roman" w:hAnsi="Arial" w:cs="Arial"/>
          <w:color w:val="000000"/>
          <w:sz w:val="14"/>
          <w:szCs w:val="14"/>
        </w:rPr>
        <w:t>catAbs</w:t>
      </w:r>
      <w:proofErr w:type="spellEnd"/>
      <w:r w:rsidRPr="00A51E91">
        <w:rPr>
          <w:rFonts w:ascii="Arial" w:eastAsia="Times New Roman" w:hAnsi="Arial" w:cs="Arial"/>
          <w:color w:val="000000"/>
          <w:sz w:val="14"/>
          <w:szCs w:val="14"/>
        </w:rPr>
        <w:t>.</w:t>
      </w:r>
    </w:p>
    <w:p w:rsidR="00A51E91" w:rsidRPr="00A51E91" w:rsidRDefault="00A51E91" w:rsidP="00A51E91">
      <w:pPr>
        <w:shd w:val="clear" w:color="auto" w:fill="FFFFFF"/>
        <w:spacing w:after="120" w:line="183" w:lineRule="atLeast"/>
        <w:rPr>
          <w:rFonts w:ascii="Arial" w:eastAsia="Times New Roman" w:hAnsi="Arial" w:cs="Arial"/>
          <w:color w:val="000000"/>
          <w:sz w:val="14"/>
          <w:szCs w:val="14"/>
        </w:rPr>
      </w:pPr>
      <w:proofErr w:type="gramStart"/>
      <w:r w:rsidRPr="00A51E91">
        <w:rPr>
          <w:rFonts w:ascii="Arial" w:eastAsia="Times New Roman" w:hAnsi="Arial" w:cs="Arial"/>
          <w:color w:val="000000"/>
          <w:sz w:val="14"/>
          <w:szCs w:val="14"/>
        </w:rPr>
        <w:t>Copyright © 2011 John Wiley &amp; Sons, Ltd.</w:t>
      </w:r>
      <w:proofErr w:type="gramEnd"/>
    </w:p>
    <w:p w:rsidR="00366E66" w:rsidRPr="00A51E91" w:rsidRDefault="00366E66" w:rsidP="00A51E91"/>
    <w:sectPr w:rsidR="00366E66" w:rsidRPr="00A51E91" w:rsidSect="00366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83A5B"/>
    <w:rsid w:val="001545CA"/>
    <w:rsid w:val="00366E66"/>
    <w:rsid w:val="00883A5B"/>
    <w:rsid w:val="00965A68"/>
    <w:rsid w:val="00A51E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66"/>
  </w:style>
  <w:style w:type="paragraph" w:styleId="Heading1">
    <w:name w:val="heading 1"/>
    <w:basedOn w:val="Normal"/>
    <w:link w:val="Heading1Char"/>
    <w:uiPriority w:val="9"/>
    <w:qFormat/>
    <w:rsid w:val="00883A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83A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83A5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83A5B"/>
    <w:rPr>
      <w:color w:val="0000FF"/>
      <w:u w:val="single"/>
    </w:rPr>
  </w:style>
  <w:style w:type="character" w:customStyle="1" w:styleId="apple-converted-space">
    <w:name w:val="apple-converted-space"/>
    <w:basedOn w:val="DefaultParagraphFont"/>
    <w:rsid w:val="00883A5B"/>
  </w:style>
  <w:style w:type="character" w:customStyle="1" w:styleId="highlight">
    <w:name w:val="highlight"/>
    <w:basedOn w:val="DefaultParagraphFont"/>
    <w:rsid w:val="00883A5B"/>
  </w:style>
  <w:style w:type="paragraph" w:styleId="NormalWeb">
    <w:name w:val="Normal (Web)"/>
    <w:basedOn w:val="Normal"/>
    <w:uiPriority w:val="99"/>
    <w:semiHidden/>
    <w:unhideWhenUsed/>
    <w:rsid w:val="00883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9087336">
      <w:bodyDiv w:val="1"/>
      <w:marLeft w:val="0"/>
      <w:marRight w:val="0"/>
      <w:marTop w:val="0"/>
      <w:marBottom w:val="0"/>
      <w:divBdr>
        <w:top w:val="none" w:sz="0" w:space="0" w:color="auto"/>
        <w:left w:val="none" w:sz="0" w:space="0" w:color="auto"/>
        <w:bottom w:val="none" w:sz="0" w:space="0" w:color="auto"/>
        <w:right w:val="none" w:sz="0" w:space="0" w:color="auto"/>
      </w:divBdr>
      <w:divsChild>
        <w:div w:id="925649036">
          <w:marLeft w:val="0"/>
          <w:marRight w:val="0"/>
          <w:marTop w:val="288"/>
          <w:marBottom w:val="100"/>
          <w:divBdr>
            <w:top w:val="none" w:sz="0" w:space="0" w:color="auto"/>
            <w:left w:val="none" w:sz="0" w:space="0" w:color="auto"/>
            <w:bottom w:val="none" w:sz="0" w:space="0" w:color="auto"/>
            <w:right w:val="none" w:sz="0" w:space="0" w:color="auto"/>
          </w:divBdr>
          <w:divsChild>
            <w:div w:id="10923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7649">
      <w:bodyDiv w:val="1"/>
      <w:marLeft w:val="0"/>
      <w:marRight w:val="0"/>
      <w:marTop w:val="0"/>
      <w:marBottom w:val="0"/>
      <w:divBdr>
        <w:top w:val="none" w:sz="0" w:space="0" w:color="auto"/>
        <w:left w:val="none" w:sz="0" w:space="0" w:color="auto"/>
        <w:bottom w:val="none" w:sz="0" w:space="0" w:color="auto"/>
        <w:right w:val="none" w:sz="0" w:space="0" w:color="auto"/>
      </w:divBdr>
      <w:divsChild>
        <w:div w:id="1550067477">
          <w:marLeft w:val="0"/>
          <w:marRight w:val="0"/>
          <w:marTop w:val="288"/>
          <w:marBottom w:val="100"/>
          <w:divBdr>
            <w:top w:val="none" w:sz="0" w:space="0" w:color="auto"/>
            <w:left w:val="none" w:sz="0" w:space="0" w:color="auto"/>
            <w:bottom w:val="none" w:sz="0" w:space="0" w:color="auto"/>
            <w:right w:val="none" w:sz="0" w:space="0" w:color="auto"/>
          </w:divBdr>
          <w:divsChild>
            <w:div w:id="985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366">
      <w:bodyDiv w:val="1"/>
      <w:marLeft w:val="0"/>
      <w:marRight w:val="0"/>
      <w:marTop w:val="0"/>
      <w:marBottom w:val="0"/>
      <w:divBdr>
        <w:top w:val="none" w:sz="0" w:space="0" w:color="auto"/>
        <w:left w:val="none" w:sz="0" w:space="0" w:color="auto"/>
        <w:bottom w:val="none" w:sz="0" w:space="0" w:color="auto"/>
        <w:right w:val="none" w:sz="0" w:space="0" w:color="auto"/>
      </w:divBdr>
      <w:divsChild>
        <w:div w:id="144511093">
          <w:marLeft w:val="0"/>
          <w:marRight w:val="0"/>
          <w:marTop w:val="288"/>
          <w:marBottom w:val="100"/>
          <w:divBdr>
            <w:top w:val="none" w:sz="0" w:space="0" w:color="auto"/>
            <w:left w:val="none" w:sz="0" w:space="0" w:color="auto"/>
            <w:bottom w:val="none" w:sz="0" w:space="0" w:color="auto"/>
            <w:right w:val="none" w:sz="0" w:space="0" w:color="auto"/>
          </w:divBdr>
          <w:divsChild>
            <w:div w:id="5689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3576">
      <w:bodyDiv w:val="1"/>
      <w:marLeft w:val="0"/>
      <w:marRight w:val="0"/>
      <w:marTop w:val="0"/>
      <w:marBottom w:val="0"/>
      <w:divBdr>
        <w:top w:val="none" w:sz="0" w:space="0" w:color="auto"/>
        <w:left w:val="none" w:sz="0" w:space="0" w:color="auto"/>
        <w:bottom w:val="none" w:sz="0" w:space="0" w:color="auto"/>
        <w:right w:val="none" w:sz="0" w:space="0" w:color="auto"/>
      </w:divBdr>
      <w:divsChild>
        <w:div w:id="1564869939">
          <w:marLeft w:val="0"/>
          <w:marRight w:val="0"/>
          <w:marTop w:val="288"/>
          <w:marBottom w:val="100"/>
          <w:divBdr>
            <w:top w:val="none" w:sz="0" w:space="0" w:color="auto"/>
            <w:left w:val="none" w:sz="0" w:space="0" w:color="auto"/>
            <w:bottom w:val="none" w:sz="0" w:space="0" w:color="auto"/>
            <w:right w:val="none" w:sz="0" w:space="0" w:color="auto"/>
          </w:divBdr>
          <w:divsChild>
            <w:div w:id="8015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bi.nlm.nih.gov/pubmed?term=Fares%20MO%5BAuthor%5D&amp;cauthor=true&amp;cauthor_uid=234792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El-Sehemy%20AA%5BAuthor%5D&amp;cauthor=true&amp;cauthor_uid=23479228" TargetMode="External"/><Relationship Id="rId5" Type="http://schemas.openxmlformats.org/officeDocument/2006/relationships/hyperlink" Target="http://www.ncbi.nlm.nih.gov/pubmed?term=Zein%20HS%5BAuthor%5D&amp;cauthor=true&amp;cauthor_uid=23479228" TargetMode="External"/><Relationship Id="rId4" Type="http://schemas.openxmlformats.org/officeDocument/2006/relationships/hyperlink" Target="http://www.ncbi.nlm.nih.gov/pubmed/2181206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445</Words>
  <Characters>2539</Characters>
  <Application>Microsoft Office Word</Application>
  <DocSecurity>0</DocSecurity>
  <Lines>21</Lines>
  <Paragraphs>5</Paragraphs>
  <ScaleCrop>false</ScaleCrop>
  <Company>good</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2013-04-15T21:30:00Z</dcterms:created>
  <dcterms:modified xsi:type="dcterms:W3CDTF">2013-04-15T21:42:00Z</dcterms:modified>
</cp:coreProperties>
</file>