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bookmarkStart w:id="0" w:name="_GoBack"/>
      <w:r w:rsidRPr="00D92C6C">
        <w:rPr>
          <w:rFonts w:eastAsia="TimesNewRomanPSMT" w:cstheme="minorHAnsi"/>
          <w:color w:val="231F20"/>
          <w:sz w:val="24"/>
          <w:szCs w:val="24"/>
        </w:rPr>
        <w:t>The etching of p-type silicon by silver catalysis is facilitated in an HF solution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 xml:space="preserve">containing HNO3 as an oxidizing agent. Silver (Ag) was </w:t>
      </w:r>
      <w:proofErr w:type="spellStart"/>
      <w:r w:rsidRPr="00D92C6C">
        <w:rPr>
          <w:rFonts w:eastAsia="TimesNewRomanPSMT" w:cstheme="minorHAnsi"/>
          <w:color w:val="231F20"/>
          <w:sz w:val="24"/>
          <w:szCs w:val="24"/>
        </w:rPr>
        <w:t>electroless</w:t>
      </w:r>
      <w:proofErr w:type="spellEnd"/>
      <w:r w:rsidRPr="00D92C6C">
        <w:rPr>
          <w:rFonts w:eastAsia="TimesNewRomanPSMT" w:cstheme="minorHAnsi"/>
          <w:color w:val="231F20"/>
          <w:sz w:val="24"/>
          <w:szCs w:val="24"/>
        </w:rPr>
        <w:t xml:space="preserve"> deposited on the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p-Si (100) surface prior to submersion in the etchant solution. On p-Si, a porous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silicon layer (PSL) was also created by stain etching in HF/HNO3. Electrochemical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impedance spectroscopy (EIS), scanning electron microscopy (SEM), energy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dispersive X-ray (EDX), atomic force microscopy (AFM), and X-ray diffraction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(XRD) were used to evaluate the properties of the produced PSL. The SEM indicates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that the best concentration of Ag+ ion to deposit on Si prior to chemical etching in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HF/HNO3 is 1 × 10-3 M. This will produce PSL with uniformly distributed pores.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According to the EIS data, coated Si dissolves more quickly in 22 M HF/0.5 M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HNO3 than untreated Si. This results in the development of a homogenous PSL with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regular round pores, which is supported by the SEM photographs. The experimental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impedance values were fitted with an equivalent electrical circuit model that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included two-time constants. Si dissolves more readily and PS develops more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quickly in the presence of higher quantities of the oxidant HNO3 or the etchant HF.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According to the AFM investigation, the Si surface's pore width and roughness</w:t>
      </w:r>
    </w:p>
    <w:p w:rsidR="00D92C6C" w:rsidRPr="00D92C6C" w:rsidRDefault="00D92C6C" w:rsidP="00D92C6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231F20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increase with increasing etching time. The crystallinity of the PSL was assessed</w:t>
      </w:r>
    </w:p>
    <w:p w:rsidR="00351145" w:rsidRPr="00D92C6C" w:rsidRDefault="00D92C6C" w:rsidP="00D92C6C">
      <w:pPr>
        <w:jc w:val="both"/>
        <w:rPr>
          <w:rFonts w:cstheme="minorHAnsi"/>
          <w:sz w:val="24"/>
          <w:szCs w:val="24"/>
        </w:rPr>
      </w:pPr>
      <w:r w:rsidRPr="00D92C6C">
        <w:rPr>
          <w:rFonts w:eastAsia="TimesNewRomanPSMT" w:cstheme="minorHAnsi"/>
          <w:color w:val="231F20"/>
          <w:sz w:val="24"/>
          <w:szCs w:val="24"/>
        </w:rPr>
        <w:t>using X-ray spectrum diffraction at different etching periods</w:t>
      </w:r>
      <w:bookmarkEnd w:id="0"/>
      <w:r w:rsidRPr="00D92C6C">
        <w:rPr>
          <w:rFonts w:eastAsia="TimesNewRomanPSMT" w:cstheme="minorHAnsi"/>
          <w:color w:val="231F20"/>
          <w:sz w:val="24"/>
          <w:szCs w:val="24"/>
        </w:rPr>
        <w:t>.</w:t>
      </w:r>
    </w:p>
    <w:sectPr w:rsidR="00351145" w:rsidRPr="00D9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6C"/>
    <w:rsid w:val="00351145"/>
    <w:rsid w:val="00D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08B8B-A514-4746-BD87-2603706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2024-10-16T18:50:00Z</dcterms:created>
  <dcterms:modified xsi:type="dcterms:W3CDTF">2024-10-16T18:58:00Z</dcterms:modified>
</cp:coreProperties>
</file>