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32" w:rsidRPr="00E81332" w:rsidRDefault="001B068F" w:rsidP="00E81332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50"/>
        <w:jc w:val="right"/>
        <w:textAlignment w:val="baseline"/>
        <w:rPr>
          <w:rFonts w:ascii="Verdana" w:eastAsia="Times New Roman" w:hAnsi="Verdana" w:cs="Times New Roman"/>
          <w:sz w:val="18"/>
          <w:szCs w:val="18"/>
        </w:rPr>
      </w:pPr>
      <w:r>
        <w:fldChar w:fldCharType="begin"/>
      </w:r>
      <w:r>
        <w:instrText>HYPERLINK "http://meetinglibrary.asco.org/print/1736075" \o "Display a printer-friendly version of this page."</w:instrText>
      </w:r>
      <w:r>
        <w:fldChar w:fldCharType="separate"/>
      </w:r>
      <w:r w:rsidR="00E81332" w:rsidRPr="00E81332">
        <w:rPr>
          <w:rFonts w:ascii="Verdana" w:eastAsia="Times New Roman" w:hAnsi="Verdana" w:cs="Times New Roman"/>
          <w:b/>
          <w:bCs/>
          <w:color w:val="13517D"/>
          <w:sz w:val="18"/>
        </w:rPr>
        <w:t>Printer-friendly version</w:t>
      </w:r>
      <w:r>
        <w:fldChar w:fldCharType="end"/>
      </w: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Early tumor shrinkage versus early response as a predictor for overall survival (OS) in patients with metastatic colorectal cancer (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mCRC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) treated with triplet chemotherapy regimens (TCR).</w:t>
      </w: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Subcategory: </w:t>
      </w:r>
    </w:p>
    <w:p w:rsidR="00E81332" w:rsidRPr="00E81332" w:rsidRDefault="001B068F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hyperlink r:id="rId5" w:history="1">
        <w:r w:rsidR="00E81332" w:rsidRPr="00E81332">
          <w:rPr>
            <w:rFonts w:ascii="Helvetica" w:eastAsia="Times New Roman" w:hAnsi="Helvetica" w:cs="Helvetica"/>
            <w:b/>
            <w:bCs/>
            <w:color w:val="13517D"/>
            <w:spacing w:val="-12"/>
            <w:sz w:val="32"/>
          </w:rPr>
          <w:t>Colorectal Cancer</w:t>
        </w:r>
      </w:hyperlink>
      <w:r w:rsidR="00E81332"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</w:t>
      </w: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Category: </w:t>
      </w: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Gastrointestinal (Colorectal) Cancer </w:t>
      </w: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Meeting: </w:t>
      </w:r>
    </w:p>
    <w:p w:rsidR="00E81332" w:rsidRPr="00E81332" w:rsidRDefault="001B068F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hyperlink r:id="rId6" w:history="1">
        <w:r w:rsidR="00E81332" w:rsidRPr="00E81332">
          <w:rPr>
            <w:rFonts w:ascii="Helvetica" w:eastAsia="Times New Roman" w:hAnsi="Helvetica" w:cs="Helvetica"/>
            <w:b/>
            <w:bCs/>
            <w:color w:val="13517D"/>
            <w:spacing w:val="-12"/>
            <w:sz w:val="32"/>
          </w:rPr>
          <w:t>2014 ASCO Annual Meeting</w:t>
        </w:r>
      </w:hyperlink>
      <w:r w:rsidR="00E81332"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</w:t>
      </w: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Session Type and Session Title: </w:t>
      </w: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This abstract will not be presented at the 2014 ASCO Annual Meeting but has been published in conjunction with the meeting. </w:t>
      </w: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Abstract Number: </w:t>
      </w: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e14580</w:t>
      </w: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Citation: </w:t>
      </w: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J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Clin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Oncol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32, 2014 (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suppl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;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abstr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e14580)</w:t>
      </w: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Author(s): </w:t>
      </w: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Shouki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Bazarbashi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, Ali Husain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Aljubran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, Ahmad Al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Zahrani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,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Wael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Edesa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, Mohamed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Nabil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-Ahmed, Mohammed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Shoukri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; King Faisal Specialist Hospital and Research Centre, Riyadh, Saudi Arabia; King Faisal Specialist Hospital and Research Center, Riyadh, Saudi Arabia; Cairo University, Cairo, Egypt</w:t>
      </w: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Abstracts that were granted an exception in accordance with ASCO's Conflict of Interest Policy are designated with a caret symbol (^).</w:t>
      </w:r>
    </w:p>
    <w:p w:rsidR="00E81332" w:rsidRPr="00E81332" w:rsidRDefault="001B068F" w:rsidP="00E81332">
      <w:pPr>
        <w:shd w:val="clear" w:color="auto" w:fill="FFFFFF"/>
        <w:bidi w:val="0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hyperlink r:id="rId7" w:tgtFrame="_blank" w:history="1">
        <w:r w:rsidR="00E81332" w:rsidRPr="00E81332">
          <w:rPr>
            <w:rFonts w:ascii="Times New Roman" w:eastAsia="Times New Roman" w:hAnsi="Times New Roman" w:cs="Times New Roman"/>
            <w:b/>
            <w:bCs/>
            <w:color w:val="13517D"/>
            <w:sz w:val="32"/>
          </w:rPr>
          <w:t>Abstract Disclosures</w:t>
        </w:r>
      </w:hyperlink>
    </w:p>
    <w:p w:rsidR="00E81332" w:rsidRPr="00E81332" w:rsidRDefault="001B068F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hyperlink r:id="rId8" w:tgtFrame="_blank" w:history="1">
        <w:r w:rsidR="00E81332" w:rsidRPr="00E81332">
          <w:rPr>
            <w:rFonts w:ascii="Helvetica" w:eastAsia="Times New Roman" w:hAnsi="Helvetica" w:cs="Helvetica"/>
            <w:b/>
            <w:bCs/>
            <w:color w:val="13517D"/>
            <w:spacing w:val="-12"/>
            <w:sz w:val="32"/>
          </w:rPr>
          <w:t>2014 ASCO Annual Meeting Proceedings Errata</w:t>
        </w:r>
      </w:hyperlink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Abstract: </w:t>
      </w:r>
    </w:p>
    <w:p w:rsidR="00E81332" w:rsidRP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</w:pPr>
    </w:p>
    <w:p w:rsidR="00E81332" w:rsidRDefault="00E81332" w:rsidP="00E81332">
      <w:pPr>
        <w:shd w:val="clear" w:color="auto" w:fill="FFFFFF"/>
        <w:bidi w:val="0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6D9888"/>
          <w:spacing w:val="-12"/>
          <w:sz w:val="32"/>
          <w:szCs w:val="32"/>
          <w:lang w:bidi="ar-EG"/>
        </w:rPr>
      </w:pPr>
      <w:r w:rsidRPr="00E81332">
        <w:rPr>
          <w:rFonts w:ascii="Helvetica" w:eastAsia="Times New Roman" w:hAnsi="Helvetica" w:cs="Helvetica"/>
          <w:b/>
          <w:bCs/>
          <w:color w:val="6D9888"/>
          <w:spacing w:val="-12"/>
          <w:sz w:val="32"/>
          <w:szCs w:val="32"/>
        </w:rPr>
        <w:t xml:space="preserve">Background: </w:t>
      </w: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TCR with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fluoropyrimidines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,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oxaliplatin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(O) and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Irinotecan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(I) have shown better efficacy in term of response and survival in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mCRC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. Early tumor shrinkage (ETS), defined as ≥ 20% shrinkage in tumor size per RECIST criteria, have shown to be a predictive for progression free survival and overall </w:t>
      </w: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lastRenderedPageBreak/>
        <w:t xml:space="preserve">survival in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mCRC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in patients treated with anti-EGFR therapy. We report here the predictive potential of ETS in patients with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mCRC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treated on our prospective phase I-II trial of the combination of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Capecitabine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(C), O, I, and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bevacizumab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(B). </w:t>
      </w:r>
      <w:r w:rsidRPr="00E81332">
        <w:rPr>
          <w:rFonts w:ascii="Helvetica" w:eastAsia="Times New Roman" w:hAnsi="Helvetica" w:cs="Helvetica"/>
          <w:b/>
          <w:bCs/>
          <w:color w:val="6D9888"/>
          <w:spacing w:val="-12"/>
          <w:sz w:val="32"/>
          <w:szCs w:val="32"/>
        </w:rPr>
        <w:t xml:space="preserve">Methods: </w:t>
      </w: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Eligible patient had locally advanced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unresectable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or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mCRC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. Patients received 5-8 cycles of the combination of C: 1,000 mg/m</w:t>
      </w:r>
      <w:r w:rsidRPr="00E81332">
        <w:rPr>
          <w:rFonts w:ascii="Helvetica" w:eastAsia="Times New Roman" w:hAnsi="Helvetica" w:cs="Helvetica"/>
          <w:color w:val="6D9888"/>
          <w:spacing w:val="-12"/>
          <w:sz w:val="15"/>
          <w:szCs w:val="15"/>
          <w:vertAlign w:val="superscript"/>
        </w:rPr>
        <w:t>2</w:t>
      </w: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bid day1-14, O: 130 mg/m</w:t>
      </w:r>
      <w:r w:rsidRPr="00E81332">
        <w:rPr>
          <w:rFonts w:ascii="Helvetica" w:eastAsia="Times New Roman" w:hAnsi="Helvetica" w:cs="Helvetica"/>
          <w:color w:val="6D9888"/>
          <w:spacing w:val="-12"/>
          <w:sz w:val="15"/>
          <w:szCs w:val="15"/>
          <w:vertAlign w:val="superscript"/>
        </w:rPr>
        <w:t>2</w:t>
      </w: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IV day 1, I: 150 mg/m</w:t>
      </w:r>
      <w:r w:rsidRPr="00E81332">
        <w:rPr>
          <w:rFonts w:ascii="Helvetica" w:eastAsia="Times New Roman" w:hAnsi="Helvetica" w:cs="Helvetica"/>
          <w:color w:val="6D9888"/>
          <w:spacing w:val="-12"/>
          <w:sz w:val="15"/>
          <w:szCs w:val="15"/>
          <w:vertAlign w:val="superscript"/>
        </w:rPr>
        <w:t>2</w:t>
      </w: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IV day 1 and B: 7.5 mg/kg bodyweight IV on day 1. Cycles repeated every 21 days. Patients with response or stable disease were then maintained on the combination of C and B till progression. Patients on the TCR had radiological assessment for response after cycles 2, 5, and 8 and then every 3 cycles. Tumor measurement according to RECIST criteria and at each CT evaluation was recorded for every patient. </w:t>
      </w:r>
      <w:r w:rsidRPr="00E81332">
        <w:rPr>
          <w:rFonts w:ascii="Helvetica" w:eastAsia="Times New Roman" w:hAnsi="Helvetica" w:cs="Helvetica"/>
          <w:b/>
          <w:bCs/>
          <w:color w:val="6D9888"/>
          <w:spacing w:val="-12"/>
          <w:sz w:val="32"/>
          <w:szCs w:val="32"/>
        </w:rPr>
        <w:t xml:space="preserve">Results: </w:t>
      </w: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54 patients enrolled. Median age 52 years (range 23-74). 28 (52%) were males. Performance status 0/1/2 were 11.3%/66%/19%. 9.4% received prior adjuvant chemotherapy. 54.7% had multi-organ involvement. Median follow up was 23 months. 45 patients evaluable for response. Response evaluation: CR: 4.4%, PR: 60%, SD 31% for a clinical benefit of 95.4%. 33% qualified for early response (CR or PR at 1</w:t>
      </w:r>
      <w:r w:rsidRPr="00E81332">
        <w:rPr>
          <w:rFonts w:ascii="Helvetica" w:eastAsia="Times New Roman" w:hAnsi="Helvetica" w:cs="Helvetica"/>
          <w:color w:val="6D9888"/>
          <w:spacing w:val="-12"/>
          <w:sz w:val="15"/>
          <w:szCs w:val="15"/>
          <w:vertAlign w:val="superscript"/>
        </w:rPr>
        <w:t>st</w:t>
      </w: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evaluation), 40% qualified for ETS. Median PFS and OS for the whole group was 16 (95% CI: 15.6-25.3) and 28 months (95% CI: 23.9-33.63) respectively. PFS and OS for patients achieving early tumor shrinkage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vs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no was 25 months and not reached vs. 9 and 22 months respectively(p=0.006 for both), and for early responders was 28 and 28 months vs. 9 and 28 months (p=0.02 and 0.5 respectively). </w:t>
      </w:r>
      <w:r w:rsidRPr="00E81332">
        <w:rPr>
          <w:rFonts w:ascii="Helvetica" w:eastAsia="Times New Roman" w:hAnsi="Helvetica" w:cs="Helvetica"/>
          <w:b/>
          <w:bCs/>
          <w:color w:val="6D9888"/>
          <w:spacing w:val="-12"/>
          <w:sz w:val="32"/>
          <w:szCs w:val="32"/>
        </w:rPr>
        <w:t xml:space="preserve">Conclusions: </w:t>
      </w: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Both ETS and response evaluation by RECIST criteria at 1</w:t>
      </w:r>
      <w:r w:rsidRPr="00E81332">
        <w:rPr>
          <w:rFonts w:ascii="Helvetica" w:eastAsia="Times New Roman" w:hAnsi="Helvetica" w:cs="Helvetica"/>
          <w:color w:val="6D9888"/>
          <w:spacing w:val="-12"/>
          <w:sz w:val="15"/>
          <w:szCs w:val="15"/>
          <w:vertAlign w:val="superscript"/>
        </w:rPr>
        <w:t>st</w:t>
      </w:r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evaluation are predictor of PFS while only ETS predict OS in </w:t>
      </w:r>
      <w:proofErr w:type="spellStart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>mCRC</w:t>
      </w:r>
      <w:proofErr w:type="spellEnd"/>
      <w:r w:rsidRPr="00E81332">
        <w:rPr>
          <w:rFonts w:ascii="Helvetica" w:eastAsia="Times New Roman" w:hAnsi="Helvetica" w:cs="Helvetica"/>
          <w:color w:val="6D9888"/>
          <w:spacing w:val="-12"/>
          <w:sz w:val="32"/>
          <w:szCs w:val="32"/>
        </w:rPr>
        <w:t xml:space="preserve"> patients treated with TCR. </w:t>
      </w:r>
    </w:p>
    <w:p w:rsidR="00FF7DAF" w:rsidRDefault="00FF7DAF" w:rsidP="00FF7DAF">
      <w:pPr>
        <w:shd w:val="clear" w:color="auto" w:fill="FFFFFF"/>
        <w:bidi w:val="0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6D9888"/>
          <w:spacing w:val="-12"/>
          <w:sz w:val="32"/>
          <w:szCs w:val="32"/>
          <w:lang w:bidi="ar-EG"/>
        </w:rPr>
      </w:pPr>
    </w:p>
    <w:p w:rsidR="00FF7DAF" w:rsidRDefault="00FF7DAF" w:rsidP="00FF7DAF">
      <w:pPr>
        <w:shd w:val="clear" w:color="auto" w:fill="FFFFFF"/>
        <w:bidi w:val="0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6D9888"/>
          <w:spacing w:val="-12"/>
          <w:sz w:val="32"/>
          <w:szCs w:val="32"/>
          <w:lang w:bidi="ar-EG"/>
        </w:rPr>
      </w:pPr>
    </w:p>
    <w:p w:rsidR="00FF7DAF" w:rsidRDefault="00FF7DAF" w:rsidP="00FF7DAF">
      <w:pPr>
        <w:shd w:val="clear" w:color="auto" w:fill="FFFFFF"/>
        <w:bidi w:val="0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6D9888"/>
          <w:spacing w:val="-12"/>
          <w:sz w:val="32"/>
          <w:szCs w:val="32"/>
          <w:lang w:bidi="ar-EG"/>
        </w:rPr>
      </w:pPr>
    </w:p>
    <w:p w:rsidR="00FF7DAF" w:rsidRDefault="00FF7DAF" w:rsidP="00FF7DAF">
      <w:pPr>
        <w:shd w:val="clear" w:color="auto" w:fill="FFFFFF"/>
        <w:bidi w:val="0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6D9888"/>
          <w:spacing w:val="-12"/>
          <w:sz w:val="32"/>
          <w:szCs w:val="32"/>
          <w:lang w:bidi="ar-EG"/>
        </w:rPr>
      </w:pPr>
    </w:p>
    <w:p w:rsidR="00FF7DAF" w:rsidRDefault="00FF7DAF" w:rsidP="00FF7DAF">
      <w:pPr>
        <w:shd w:val="clear" w:color="auto" w:fill="FFFFFF"/>
        <w:bidi w:val="0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6D9888"/>
          <w:spacing w:val="-12"/>
          <w:sz w:val="32"/>
          <w:szCs w:val="32"/>
          <w:lang w:bidi="ar-EG"/>
        </w:rPr>
      </w:pPr>
    </w:p>
    <w:p w:rsidR="00FF7DAF" w:rsidRDefault="00FF7DAF" w:rsidP="00FF7DAF">
      <w:pPr>
        <w:shd w:val="clear" w:color="auto" w:fill="FFFFFF"/>
        <w:bidi w:val="0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6D9888"/>
          <w:spacing w:val="-12"/>
          <w:sz w:val="32"/>
          <w:szCs w:val="32"/>
          <w:lang w:bidi="ar-EG"/>
        </w:rPr>
      </w:pPr>
    </w:p>
    <w:p w:rsidR="00FF7DAF" w:rsidRDefault="00FF7DAF" w:rsidP="00FF7DAF">
      <w:pPr>
        <w:shd w:val="clear" w:color="auto" w:fill="FFFFFF"/>
        <w:bidi w:val="0"/>
        <w:rPr>
          <w:rFonts w:ascii="Helvetica" w:hAnsi="Helvetica" w:cs="Helvetica"/>
          <w:color w:val="403838"/>
          <w:sz w:val="17"/>
          <w:szCs w:val="17"/>
          <w:lang/>
        </w:rPr>
      </w:pPr>
      <w:r>
        <w:rPr>
          <w:rFonts w:ascii="Helvetica" w:hAnsi="Helvetica" w:cs="Helvetica"/>
          <w:color w:val="403838"/>
          <w:sz w:val="17"/>
          <w:szCs w:val="17"/>
          <w:lang/>
        </w:rPr>
        <w:lastRenderedPageBreak/>
        <w:t>Journal of Clinical Oncology, 2014 ASCO Annual Meeting Abstracts.</w:t>
      </w:r>
      <w:r>
        <w:rPr>
          <w:rFonts w:ascii="Helvetica" w:hAnsi="Helvetica" w:cs="Helvetica"/>
          <w:color w:val="403838"/>
          <w:sz w:val="17"/>
          <w:szCs w:val="17"/>
          <w:lang/>
        </w:rPr>
        <w:br/>
      </w:r>
      <w:proofErr w:type="spellStart"/>
      <w:r>
        <w:rPr>
          <w:rFonts w:ascii="Helvetica" w:hAnsi="Helvetica" w:cs="Helvetica"/>
          <w:color w:val="403838"/>
          <w:sz w:val="17"/>
          <w:szCs w:val="17"/>
          <w:lang/>
        </w:rPr>
        <w:t>Vol</w:t>
      </w:r>
      <w:proofErr w:type="spellEnd"/>
      <w:r>
        <w:rPr>
          <w:rFonts w:ascii="Helvetica" w:hAnsi="Helvetica" w:cs="Helvetica"/>
          <w:color w:val="403838"/>
          <w:sz w:val="17"/>
          <w:szCs w:val="17"/>
          <w:lang/>
        </w:rPr>
        <w:t xml:space="preserve"> 32, No 15_suppl (May 20 Supplement), 2014: e14580</w:t>
      </w:r>
      <w:r>
        <w:rPr>
          <w:rFonts w:ascii="Helvetica" w:hAnsi="Helvetica" w:cs="Helvetica"/>
          <w:color w:val="403838"/>
          <w:sz w:val="17"/>
          <w:szCs w:val="17"/>
          <w:lang/>
        </w:rPr>
        <w:br/>
        <w:t xml:space="preserve">© 2014 </w:t>
      </w:r>
      <w:hyperlink r:id="rId9" w:history="1">
        <w:r>
          <w:rPr>
            <w:rStyle w:val="Hyperlink"/>
            <w:sz w:val="17"/>
            <w:szCs w:val="17"/>
            <w:lang/>
          </w:rPr>
          <w:t>American Society of Clinical Oncology</w:t>
        </w:r>
      </w:hyperlink>
    </w:p>
    <w:p w:rsidR="00FF7DAF" w:rsidRDefault="00FF7DAF" w:rsidP="00FF7DAF">
      <w:pPr>
        <w:shd w:val="clear" w:color="auto" w:fill="FFFFFF"/>
        <w:bidi w:val="0"/>
        <w:spacing w:after="96"/>
        <w:outlineLvl w:val="2"/>
        <w:rPr>
          <w:rFonts w:ascii="Times New Roman" w:hAnsi="Times New Roman" w:cs="Times New Roman"/>
          <w:b/>
          <w:bCs/>
          <w:color w:val="B08307"/>
          <w:sz w:val="29"/>
          <w:szCs w:val="29"/>
          <w:lang/>
        </w:rPr>
      </w:pPr>
      <w:r>
        <w:rPr>
          <w:b/>
          <w:bCs/>
          <w:color w:val="B08307"/>
          <w:sz w:val="29"/>
          <w:szCs w:val="29"/>
          <w:lang/>
        </w:rPr>
        <w:t>Early tumor shrinkage versus early response as a predictor for overall survival (OS) in patients with metastatic colorectal cancer (</w:t>
      </w:r>
      <w:proofErr w:type="spellStart"/>
      <w:r>
        <w:rPr>
          <w:b/>
          <w:bCs/>
          <w:color w:val="B08307"/>
          <w:sz w:val="29"/>
          <w:szCs w:val="29"/>
          <w:lang/>
        </w:rPr>
        <w:t>mCRC</w:t>
      </w:r>
      <w:proofErr w:type="spellEnd"/>
      <w:r>
        <w:rPr>
          <w:b/>
          <w:bCs/>
          <w:color w:val="B08307"/>
          <w:sz w:val="29"/>
          <w:szCs w:val="29"/>
          <w:lang/>
        </w:rPr>
        <w:t xml:space="preserve">) treated with triplet chemotherapy regimens (TCR). </w:t>
      </w:r>
    </w:p>
    <w:p w:rsidR="00FF7DAF" w:rsidRDefault="00FF7DAF" w:rsidP="00FF7DAF">
      <w:pPr>
        <w:shd w:val="clear" w:color="auto" w:fill="FFFFFF"/>
        <w:bidi w:val="0"/>
        <w:spacing w:after="0"/>
        <w:rPr>
          <w:rFonts w:ascii="Helvetica" w:hAnsi="Helvetica" w:cs="Helvetica"/>
          <w:color w:val="403838"/>
          <w:sz w:val="19"/>
          <w:szCs w:val="19"/>
          <w:lang/>
        </w:rPr>
      </w:pPr>
      <w:proofErr w:type="spellStart"/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>Shouki</w:t>
      </w:r>
      <w:proofErr w:type="spellEnd"/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>Bazarbashi</w:t>
      </w:r>
      <w:proofErr w:type="spellEnd"/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 xml:space="preserve">, Ali Husain </w:t>
      </w:r>
      <w:proofErr w:type="spellStart"/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>Aljubran</w:t>
      </w:r>
      <w:proofErr w:type="spellEnd"/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 xml:space="preserve">, Ahmad Al </w:t>
      </w:r>
      <w:proofErr w:type="spellStart"/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>Zahrani</w:t>
      </w:r>
      <w:proofErr w:type="spellEnd"/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 xml:space="preserve">, </w:t>
      </w:r>
      <w:proofErr w:type="spellStart"/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>Wael</w:t>
      </w:r>
      <w:proofErr w:type="spellEnd"/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>Edesa</w:t>
      </w:r>
      <w:proofErr w:type="spellEnd"/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 xml:space="preserve">, Mohamed </w:t>
      </w:r>
      <w:proofErr w:type="spellStart"/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>Nabil</w:t>
      </w:r>
      <w:proofErr w:type="spellEnd"/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 xml:space="preserve">-Ahmed and Mohammed </w:t>
      </w:r>
      <w:proofErr w:type="spellStart"/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>Shoukri</w:t>
      </w:r>
      <w:proofErr w:type="spellEnd"/>
    </w:p>
    <w:p w:rsidR="00FF7DAF" w:rsidRDefault="00FF7DAF" w:rsidP="00FF7DAF">
      <w:pPr>
        <w:shd w:val="clear" w:color="auto" w:fill="FFFFFF"/>
        <w:bidi w:val="0"/>
        <w:spacing w:before="225" w:after="225"/>
        <w:rPr>
          <w:rFonts w:ascii="Helvetica" w:hAnsi="Helvetica" w:cs="Helvetica"/>
          <w:color w:val="403838"/>
          <w:sz w:val="19"/>
          <w:szCs w:val="19"/>
          <w:lang/>
        </w:rPr>
      </w:pPr>
      <w:r>
        <w:rPr>
          <w:rFonts w:ascii="Helvetica" w:hAnsi="Helvetica" w:cs="Helvetica"/>
          <w:color w:val="403838"/>
          <w:sz w:val="19"/>
          <w:szCs w:val="19"/>
          <w:lang/>
        </w:rPr>
        <w:t xml:space="preserve">King Faisal Specialist Hospital and Research Centre, Riyadh, Saudi Arabia; King Faisal Specialist Hospital and Research Center, Riyadh, Saudi Arabia; Cairo University, Cairo, Egypt </w:t>
      </w:r>
    </w:p>
    <w:p w:rsidR="00FF7DAF" w:rsidRDefault="00FF7DAF" w:rsidP="00FF7DAF">
      <w:pPr>
        <w:shd w:val="clear" w:color="auto" w:fill="FFFFFF"/>
        <w:bidi w:val="0"/>
        <w:spacing w:before="225" w:after="225"/>
        <w:rPr>
          <w:rFonts w:ascii="Helvetica" w:hAnsi="Helvetica" w:cs="Helvetica"/>
          <w:color w:val="403838"/>
          <w:sz w:val="19"/>
          <w:szCs w:val="19"/>
          <w:lang/>
        </w:rPr>
      </w:pPr>
      <w:hyperlink r:id="rId10" w:history="1">
        <w:r>
          <w:rPr>
            <w:rStyle w:val="Hyperlink"/>
            <w:sz w:val="19"/>
            <w:szCs w:val="19"/>
            <w:lang/>
          </w:rPr>
          <w:t>Abstract Disclosures</w:t>
        </w:r>
      </w:hyperlink>
    </w:p>
    <w:p w:rsidR="00FF7DAF" w:rsidRDefault="00FF7DAF" w:rsidP="00FF7DAF">
      <w:pPr>
        <w:shd w:val="clear" w:color="auto" w:fill="FFFFFF"/>
        <w:bidi w:val="0"/>
        <w:spacing w:after="0"/>
        <w:rPr>
          <w:rFonts w:ascii="Helvetica" w:hAnsi="Helvetica" w:cs="Helvetica"/>
          <w:color w:val="403838"/>
          <w:sz w:val="19"/>
          <w:szCs w:val="19"/>
          <w:lang/>
        </w:rPr>
      </w:pPr>
      <w:r>
        <w:rPr>
          <w:rStyle w:val="a4"/>
          <w:rFonts w:ascii="Helvetica" w:hAnsi="Helvetica" w:cs="Helvetica"/>
          <w:color w:val="403838"/>
          <w:sz w:val="23"/>
          <w:szCs w:val="23"/>
          <w:lang/>
        </w:rPr>
        <w:t>Abstract</w:t>
      </w:r>
    </w:p>
    <w:p w:rsidR="00FF7DAF" w:rsidRDefault="00FF7DAF" w:rsidP="00FF7DAF">
      <w:pPr>
        <w:shd w:val="clear" w:color="auto" w:fill="FFFFFF"/>
        <w:bidi w:val="0"/>
        <w:spacing w:before="225" w:after="225"/>
        <w:rPr>
          <w:rFonts w:ascii="Helvetica" w:hAnsi="Helvetica" w:cs="Helvetica"/>
          <w:color w:val="403838"/>
          <w:sz w:val="19"/>
          <w:szCs w:val="19"/>
          <w:lang/>
        </w:rPr>
      </w:pPr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>e14580</w:t>
      </w:r>
    </w:p>
    <w:p w:rsidR="00FF7DAF" w:rsidRDefault="00FF7DAF" w:rsidP="00FF7DAF">
      <w:pPr>
        <w:shd w:val="clear" w:color="auto" w:fill="FFFFFF"/>
        <w:bidi w:val="0"/>
        <w:spacing w:before="225" w:after="225"/>
        <w:rPr>
          <w:rFonts w:ascii="Helvetica" w:hAnsi="Helvetica" w:cs="Helvetica"/>
          <w:color w:val="403838"/>
          <w:sz w:val="19"/>
          <w:szCs w:val="19"/>
          <w:lang/>
        </w:rPr>
      </w:pPr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 xml:space="preserve">Background: </w:t>
      </w:r>
      <w:r>
        <w:rPr>
          <w:rFonts w:ascii="Helvetica" w:hAnsi="Helvetica" w:cs="Helvetica"/>
          <w:color w:val="403838"/>
          <w:sz w:val="19"/>
          <w:szCs w:val="19"/>
          <w:lang/>
        </w:rPr>
        <w:t xml:space="preserve">TCR with </w:t>
      </w:r>
      <w:proofErr w:type="spellStart"/>
      <w:r>
        <w:rPr>
          <w:rFonts w:ascii="Helvetica" w:hAnsi="Helvetica" w:cs="Helvetica"/>
          <w:color w:val="403838"/>
          <w:sz w:val="19"/>
          <w:szCs w:val="19"/>
          <w:lang/>
        </w:rPr>
        <w:t>fluoropyrimidines</w:t>
      </w:r>
      <w:proofErr w:type="spellEnd"/>
      <w:r>
        <w:rPr>
          <w:rFonts w:ascii="Helvetica" w:hAnsi="Helvetica" w:cs="Helvetica"/>
          <w:color w:val="403838"/>
          <w:sz w:val="19"/>
          <w:szCs w:val="19"/>
          <w:lang/>
        </w:rPr>
        <w:t xml:space="preserve">, </w:t>
      </w:r>
      <w:proofErr w:type="spellStart"/>
      <w:r>
        <w:rPr>
          <w:rFonts w:ascii="Helvetica" w:hAnsi="Helvetica" w:cs="Helvetica"/>
          <w:color w:val="403838"/>
          <w:sz w:val="19"/>
          <w:szCs w:val="19"/>
          <w:lang/>
        </w:rPr>
        <w:t>oxaliplatin</w:t>
      </w:r>
      <w:proofErr w:type="spellEnd"/>
      <w:r>
        <w:rPr>
          <w:rFonts w:ascii="Helvetica" w:hAnsi="Helvetica" w:cs="Helvetica"/>
          <w:color w:val="403838"/>
          <w:sz w:val="19"/>
          <w:szCs w:val="19"/>
          <w:lang/>
        </w:rPr>
        <w:t xml:space="preserve">(O) and </w:t>
      </w:r>
      <w:proofErr w:type="spellStart"/>
      <w:r>
        <w:rPr>
          <w:rFonts w:ascii="Helvetica" w:hAnsi="Helvetica" w:cs="Helvetica"/>
          <w:color w:val="403838"/>
          <w:sz w:val="19"/>
          <w:szCs w:val="19"/>
          <w:lang/>
        </w:rPr>
        <w:t>Irinotecan</w:t>
      </w:r>
      <w:proofErr w:type="spellEnd"/>
      <w:r>
        <w:rPr>
          <w:rFonts w:ascii="Helvetica" w:hAnsi="Helvetica" w:cs="Helvetica"/>
          <w:color w:val="403838"/>
          <w:sz w:val="19"/>
          <w:szCs w:val="19"/>
          <w:lang/>
        </w:rPr>
        <w:t xml:space="preserve"> (I) have shown better efficacy in term of response and survival in </w:t>
      </w:r>
      <w:proofErr w:type="spellStart"/>
      <w:r>
        <w:rPr>
          <w:rFonts w:ascii="Helvetica" w:hAnsi="Helvetica" w:cs="Helvetica"/>
          <w:color w:val="403838"/>
          <w:sz w:val="19"/>
          <w:szCs w:val="19"/>
          <w:lang/>
        </w:rPr>
        <w:t>mCRC</w:t>
      </w:r>
      <w:proofErr w:type="spellEnd"/>
      <w:r>
        <w:rPr>
          <w:rFonts w:ascii="Helvetica" w:hAnsi="Helvetica" w:cs="Helvetica"/>
          <w:color w:val="403838"/>
          <w:sz w:val="19"/>
          <w:szCs w:val="19"/>
          <w:lang/>
        </w:rPr>
        <w:t xml:space="preserve">. Early tumor shrinkage (ETS), defined as </w:t>
      </w:r>
      <w:r>
        <w:rPr>
          <w:rFonts w:ascii="Helvetica" w:hAnsi="Helvetica" w:cs="Helvetica"/>
          <w:noProof/>
          <w:color w:val="403838"/>
          <w:sz w:val="19"/>
          <w:szCs w:val="19"/>
        </w:rPr>
        <w:drawing>
          <wp:inline distT="0" distB="0" distL="0" distR="0">
            <wp:extent cx="76200" cy="95250"/>
            <wp:effectExtent l="19050" t="0" r="0" b="0"/>
            <wp:docPr id="1" name="صورة 1" descr="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≥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403838"/>
          <w:sz w:val="19"/>
          <w:szCs w:val="19"/>
          <w:lang/>
        </w:rPr>
        <w:t xml:space="preserve">20% shrinkage in tumor size per RECIST criteria, have shown to be a predictive for progression free survival and overall survival in </w:t>
      </w:r>
      <w:proofErr w:type="spellStart"/>
      <w:r>
        <w:rPr>
          <w:rFonts w:ascii="Helvetica" w:hAnsi="Helvetica" w:cs="Helvetica"/>
          <w:color w:val="403838"/>
          <w:sz w:val="19"/>
          <w:szCs w:val="19"/>
          <w:lang/>
        </w:rPr>
        <w:t>mCRC</w:t>
      </w:r>
      <w:proofErr w:type="spellEnd"/>
      <w:r>
        <w:rPr>
          <w:rFonts w:ascii="Helvetica" w:hAnsi="Helvetica" w:cs="Helvetica"/>
          <w:color w:val="403838"/>
          <w:sz w:val="19"/>
          <w:szCs w:val="19"/>
          <w:lang/>
        </w:rPr>
        <w:t xml:space="preserve"> in patients treated with anti-EGFR therapy. We report here the predictive potential of ETS in patients with </w:t>
      </w:r>
      <w:proofErr w:type="spellStart"/>
      <w:r>
        <w:rPr>
          <w:rFonts w:ascii="Helvetica" w:hAnsi="Helvetica" w:cs="Helvetica"/>
          <w:color w:val="403838"/>
          <w:sz w:val="19"/>
          <w:szCs w:val="19"/>
          <w:lang/>
        </w:rPr>
        <w:t>mCRC</w:t>
      </w:r>
      <w:proofErr w:type="spellEnd"/>
      <w:r>
        <w:rPr>
          <w:rFonts w:ascii="Helvetica" w:hAnsi="Helvetica" w:cs="Helvetica"/>
          <w:color w:val="403838"/>
          <w:sz w:val="19"/>
          <w:szCs w:val="19"/>
          <w:lang/>
        </w:rPr>
        <w:t xml:space="preserve"> treated on our prospective phase I-II trial of the combination of </w:t>
      </w:r>
      <w:proofErr w:type="spellStart"/>
      <w:r>
        <w:rPr>
          <w:rFonts w:ascii="Helvetica" w:hAnsi="Helvetica" w:cs="Helvetica"/>
          <w:color w:val="403838"/>
          <w:sz w:val="19"/>
          <w:szCs w:val="19"/>
          <w:lang/>
        </w:rPr>
        <w:t>Capecitabine</w:t>
      </w:r>
      <w:proofErr w:type="spellEnd"/>
      <w:r>
        <w:rPr>
          <w:rFonts w:ascii="Helvetica" w:hAnsi="Helvetica" w:cs="Helvetica"/>
          <w:color w:val="403838"/>
          <w:sz w:val="19"/>
          <w:szCs w:val="19"/>
          <w:lang/>
        </w:rPr>
        <w:t xml:space="preserve"> (C), O, I, and </w:t>
      </w:r>
      <w:proofErr w:type="spellStart"/>
      <w:r>
        <w:rPr>
          <w:rFonts w:ascii="Helvetica" w:hAnsi="Helvetica" w:cs="Helvetica"/>
          <w:color w:val="403838"/>
          <w:sz w:val="19"/>
          <w:szCs w:val="19"/>
          <w:lang/>
        </w:rPr>
        <w:t>bevacizumab</w:t>
      </w:r>
      <w:proofErr w:type="spellEnd"/>
      <w:r>
        <w:rPr>
          <w:rFonts w:ascii="Helvetica" w:hAnsi="Helvetica" w:cs="Helvetica"/>
          <w:color w:val="403838"/>
          <w:sz w:val="19"/>
          <w:szCs w:val="19"/>
          <w:lang/>
        </w:rPr>
        <w:t xml:space="preserve"> (B). </w:t>
      </w:r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 xml:space="preserve">Methods: </w:t>
      </w:r>
      <w:r>
        <w:rPr>
          <w:rFonts w:ascii="Helvetica" w:hAnsi="Helvetica" w:cs="Helvetica"/>
          <w:color w:val="403838"/>
          <w:sz w:val="19"/>
          <w:szCs w:val="19"/>
          <w:lang/>
        </w:rPr>
        <w:t xml:space="preserve">Eligible patient had locally advanced </w:t>
      </w:r>
      <w:proofErr w:type="spellStart"/>
      <w:r>
        <w:rPr>
          <w:rFonts w:ascii="Helvetica" w:hAnsi="Helvetica" w:cs="Helvetica"/>
          <w:color w:val="403838"/>
          <w:sz w:val="19"/>
          <w:szCs w:val="19"/>
          <w:lang/>
        </w:rPr>
        <w:t>unresectable</w:t>
      </w:r>
      <w:proofErr w:type="spellEnd"/>
      <w:r>
        <w:rPr>
          <w:rFonts w:ascii="Helvetica" w:hAnsi="Helvetica" w:cs="Helvetica"/>
          <w:color w:val="403838"/>
          <w:sz w:val="19"/>
          <w:szCs w:val="19"/>
          <w:lang/>
        </w:rPr>
        <w:t xml:space="preserve"> or </w:t>
      </w:r>
      <w:proofErr w:type="spellStart"/>
      <w:r>
        <w:rPr>
          <w:rFonts w:ascii="Helvetica" w:hAnsi="Helvetica" w:cs="Helvetica"/>
          <w:color w:val="403838"/>
          <w:sz w:val="19"/>
          <w:szCs w:val="19"/>
          <w:lang/>
        </w:rPr>
        <w:t>mCRC</w:t>
      </w:r>
      <w:proofErr w:type="spellEnd"/>
      <w:r>
        <w:rPr>
          <w:rFonts w:ascii="Helvetica" w:hAnsi="Helvetica" w:cs="Helvetica"/>
          <w:color w:val="403838"/>
          <w:sz w:val="19"/>
          <w:szCs w:val="19"/>
          <w:lang/>
        </w:rPr>
        <w:t>. Patients received 5-8 cycles of the combination of C: 1,000 mg/m</w:t>
      </w:r>
      <w:r>
        <w:rPr>
          <w:rFonts w:ascii="Helvetica" w:hAnsi="Helvetica" w:cs="Helvetica"/>
          <w:color w:val="403838"/>
          <w:sz w:val="16"/>
          <w:szCs w:val="16"/>
          <w:vertAlign w:val="superscript"/>
          <w:lang/>
        </w:rPr>
        <w:t>2</w:t>
      </w:r>
      <w:r>
        <w:rPr>
          <w:rFonts w:ascii="Helvetica" w:hAnsi="Helvetica" w:cs="Helvetica"/>
          <w:color w:val="403838"/>
          <w:sz w:val="19"/>
          <w:szCs w:val="19"/>
          <w:lang/>
        </w:rPr>
        <w:t xml:space="preserve"> bid day1-14, O: 130 mg/m</w:t>
      </w:r>
      <w:r>
        <w:rPr>
          <w:rFonts w:ascii="Helvetica" w:hAnsi="Helvetica" w:cs="Helvetica"/>
          <w:color w:val="403838"/>
          <w:sz w:val="16"/>
          <w:szCs w:val="16"/>
          <w:vertAlign w:val="superscript"/>
          <w:lang/>
        </w:rPr>
        <w:t>2</w:t>
      </w:r>
      <w:r>
        <w:rPr>
          <w:rFonts w:ascii="Helvetica" w:hAnsi="Helvetica" w:cs="Helvetica"/>
          <w:color w:val="403838"/>
          <w:sz w:val="19"/>
          <w:szCs w:val="19"/>
          <w:lang/>
        </w:rPr>
        <w:t xml:space="preserve"> IV day 1, I: 150 mg/m</w:t>
      </w:r>
      <w:r>
        <w:rPr>
          <w:rFonts w:ascii="Helvetica" w:hAnsi="Helvetica" w:cs="Helvetica"/>
          <w:color w:val="403838"/>
          <w:sz w:val="16"/>
          <w:szCs w:val="16"/>
          <w:vertAlign w:val="superscript"/>
          <w:lang/>
        </w:rPr>
        <w:t>2</w:t>
      </w:r>
      <w:r>
        <w:rPr>
          <w:rFonts w:ascii="Helvetica" w:hAnsi="Helvetica" w:cs="Helvetica"/>
          <w:color w:val="403838"/>
          <w:sz w:val="19"/>
          <w:szCs w:val="19"/>
          <w:lang/>
        </w:rPr>
        <w:t xml:space="preserve">IV day 1 and B: 7.5 mg/kg bodyweight IV on day 1. Cycles repeated every 21 days. Patients with response or stable disease were then maintained on the combination of C and B till progression. Patients on the TCR had radiological assessment for response after cycles 2, 5, and 8 and then every 3 cycles. Tumor measurement according to RECIST criteria and at each CT evaluation was recorded for every patient. </w:t>
      </w:r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 xml:space="preserve">Results: </w:t>
      </w:r>
      <w:r>
        <w:rPr>
          <w:rFonts w:ascii="Helvetica" w:hAnsi="Helvetica" w:cs="Helvetica"/>
          <w:color w:val="403838"/>
          <w:sz w:val="19"/>
          <w:szCs w:val="19"/>
          <w:lang/>
        </w:rPr>
        <w:t>54 patients enrolled. Median age 52 years (range 23-74). 28 (52%) were males. Performance status 0/1/2 were 11.3%/66%/19%. 9.4% received prior adjuvant chemotherapy. 54.7% had multi-organ involvement. Median follow up was 23 months. 45 patients evaluable for response. Response evaluation: CR: 4.4%, PR: 60%, SD 31% for a clinical benefit of 95.4%. 33% qualified for early response (CR or PR at 1</w:t>
      </w:r>
      <w:r>
        <w:rPr>
          <w:rFonts w:ascii="Helvetica" w:hAnsi="Helvetica" w:cs="Helvetica"/>
          <w:color w:val="403838"/>
          <w:sz w:val="16"/>
          <w:szCs w:val="16"/>
          <w:vertAlign w:val="superscript"/>
          <w:lang/>
        </w:rPr>
        <w:t>st</w:t>
      </w:r>
      <w:r>
        <w:rPr>
          <w:rFonts w:ascii="Helvetica" w:hAnsi="Helvetica" w:cs="Helvetica"/>
          <w:color w:val="403838"/>
          <w:sz w:val="19"/>
          <w:szCs w:val="19"/>
          <w:lang/>
        </w:rPr>
        <w:t xml:space="preserve">evaluation), 40% qualified for ETS. Median PFS and OS for the whole group was 16 (95% CI: 15.6-25.3) and 28 months (95% CI: 23.9-33.63) respectively. PFS and OS for patients achieving early tumor shrinkage </w:t>
      </w:r>
      <w:proofErr w:type="spellStart"/>
      <w:r>
        <w:rPr>
          <w:rFonts w:ascii="Helvetica" w:hAnsi="Helvetica" w:cs="Helvetica"/>
          <w:color w:val="403838"/>
          <w:sz w:val="19"/>
          <w:szCs w:val="19"/>
          <w:lang/>
        </w:rPr>
        <w:t>vs</w:t>
      </w:r>
      <w:proofErr w:type="spellEnd"/>
      <w:r>
        <w:rPr>
          <w:rFonts w:ascii="Helvetica" w:hAnsi="Helvetica" w:cs="Helvetica"/>
          <w:color w:val="403838"/>
          <w:sz w:val="19"/>
          <w:szCs w:val="19"/>
          <w:lang/>
        </w:rPr>
        <w:t xml:space="preserve"> no was 25 months and not reached vs. 9 and 22 months respectively(p=0.006 for both), and for early responders was 28 and 28 months vs. 9 and 28 months (p=0.02 and 0.5 respectively). </w:t>
      </w:r>
      <w:r>
        <w:rPr>
          <w:rStyle w:val="a4"/>
          <w:rFonts w:ascii="Helvetica" w:hAnsi="Helvetica" w:cs="Helvetica"/>
          <w:color w:val="403838"/>
          <w:sz w:val="19"/>
          <w:szCs w:val="19"/>
          <w:lang/>
        </w:rPr>
        <w:t xml:space="preserve">Conclusions: </w:t>
      </w:r>
      <w:r>
        <w:rPr>
          <w:rFonts w:ascii="Helvetica" w:hAnsi="Helvetica" w:cs="Helvetica"/>
          <w:color w:val="403838"/>
          <w:sz w:val="19"/>
          <w:szCs w:val="19"/>
          <w:lang/>
        </w:rPr>
        <w:t>Both ETS and response evaluation by RECIST criteria at 1</w:t>
      </w:r>
      <w:r>
        <w:rPr>
          <w:rFonts w:ascii="Helvetica" w:hAnsi="Helvetica" w:cs="Helvetica"/>
          <w:color w:val="403838"/>
          <w:sz w:val="16"/>
          <w:szCs w:val="16"/>
          <w:vertAlign w:val="superscript"/>
          <w:lang/>
        </w:rPr>
        <w:t>st</w:t>
      </w:r>
      <w:r>
        <w:rPr>
          <w:rFonts w:ascii="Helvetica" w:hAnsi="Helvetica" w:cs="Helvetica"/>
          <w:color w:val="403838"/>
          <w:sz w:val="19"/>
          <w:szCs w:val="19"/>
          <w:lang/>
        </w:rPr>
        <w:t xml:space="preserve"> evaluation are predictor of PFS while only ETS predict OS in </w:t>
      </w:r>
      <w:proofErr w:type="spellStart"/>
      <w:r>
        <w:rPr>
          <w:rFonts w:ascii="Helvetica" w:hAnsi="Helvetica" w:cs="Helvetica"/>
          <w:color w:val="403838"/>
          <w:sz w:val="19"/>
          <w:szCs w:val="19"/>
          <w:lang/>
        </w:rPr>
        <w:t>mCRC</w:t>
      </w:r>
      <w:proofErr w:type="spellEnd"/>
      <w:r>
        <w:rPr>
          <w:rFonts w:ascii="Helvetica" w:hAnsi="Helvetica" w:cs="Helvetica"/>
          <w:color w:val="403838"/>
          <w:sz w:val="19"/>
          <w:szCs w:val="19"/>
          <w:lang/>
        </w:rPr>
        <w:t xml:space="preserve"> patients treated with TCR. </w:t>
      </w:r>
    </w:p>
    <w:p w:rsidR="00FF7DAF" w:rsidRPr="00FF7DAF" w:rsidRDefault="00FF7DAF" w:rsidP="00FF7DAF">
      <w:pPr>
        <w:shd w:val="clear" w:color="auto" w:fill="FFFFFF"/>
        <w:bidi w:val="0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6D9888"/>
          <w:spacing w:val="-12"/>
          <w:sz w:val="32"/>
          <w:szCs w:val="32"/>
          <w:lang w:bidi="ar-EG"/>
        </w:rPr>
      </w:pPr>
    </w:p>
    <w:p w:rsidR="00FF7DAF" w:rsidRPr="00E81332" w:rsidRDefault="00FF7DAF" w:rsidP="00FF7DAF">
      <w:pPr>
        <w:shd w:val="clear" w:color="auto" w:fill="FFFFFF"/>
        <w:bidi w:val="0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6D9888"/>
          <w:spacing w:val="-12"/>
          <w:sz w:val="32"/>
          <w:szCs w:val="32"/>
          <w:rtl/>
          <w:lang w:bidi="ar-EG"/>
        </w:rPr>
      </w:pPr>
    </w:p>
    <w:sectPr w:rsidR="00FF7DAF" w:rsidRPr="00E81332" w:rsidSect="002752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27F8"/>
    <w:multiLevelType w:val="multilevel"/>
    <w:tmpl w:val="38AA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815ED2"/>
    <w:multiLevelType w:val="multilevel"/>
    <w:tmpl w:val="DFB6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3B3181"/>
    <w:multiLevelType w:val="multilevel"/>
    <w:tmpl w:val="8310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7B050F"/>
    <w:multiLevelType w:val="multilevel"/>
    <w:tmpl w:val="91DE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</w:num>
  <w:num w:numId="8">
    <w:abstractNumId w:val="1"/>
  </w:num>
  <w:num w:numId="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1332"/>
    <w:rsid w:val="001B068F"/>
    <w:rsid w:val="002752A2"/>
    <w:rsid w:val="00817093"/>
    <w:rsid w:val="00D541CD"/>
    <w:rsid w:val="00E81332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93"/>
    <w:pPr>
      <w:bidi/>
    </w:pPr>
  </w:style>
  <w:style w:type="paragraph" w:styleId="2">
    <w:name w:val="heading 2"/>
    <w:basedOn w:val="a"/>
    <w:link w:val="2Char"/>
    <w:uiPriority w:val="9"/>
    <w:qFormat/>
    <w:rsid w:val="00E81332"/>
    <w:pPr>
      <w:bidi w:val="0"/>
      <w:spacing w:after="0" w:line="240" w:lineRule="auto"/>
      <w:textAlignment w:val="baseline"/>
      <w:outlineLvl w:val="1"/>
    </w:pPr>
    <w:rPr>
      <w:rFonts w:ascii="Helvetica" w:eastAsia="Times New Roman" w:hAnsi="Helvetica" w:cs="Helvetica"/>
      <w:color w:val="6D9888"/>
      <w:spacing w:val="-12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81332"/>
    <w:pPr>
      <w:bidi w:val="0"/>
      <w:spacing w:after="0" w:line="240" w:lineRule="auto"/>
      <w:textAlignment w:val="baseline"/>
      <w:outlineLvl w:val="2"/>
    </w:pPr>
    <w:rPr>
      <w:rFonts w:ascii="Helvetica" w:eastAsia="Times New Roman" w:hAnsi="Helvetica" w:cs="Helvetica"/>
      <w:color w:val="6D9888"/>
      <w:spacing w:val="-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81332"/>
    <w:rPr>
      <w:rFonts w:ascii="Helvetica" w:eastAsia="Times New Roman" w:hAnsi="Helvetica" w:cs="Helvetica"/>
      <w:color w:val="6D9888"/>
      <w:spacing w:val="-12"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E81332"/>
    <w:rPr>
      <w:rFonts w:ascii="Helvetica" w:eastAsia="Times New Roman" w:hAnsi="Helvetica" w:cs="Helvetica"/>
      <w:color w:val="6D9888"/>
      <w:spacing w:val="-12"/>
      <w:sz w:val="32"/>
      <w:szCs w:val="32"/>
    </w:rPr>
  </w:style>
  <w:style w:type="character" w:styleId="Hyperlink">
    <w:name w:val="Hyperlink"/>
    <w:basedOn w:val="a0"/>
    <w:uiPriority w:val="99"/>
    <w:semiHidden/>
    <w:unhideWhenUsed/>
    <w:rsid w:val="00E81332"/>
    <w:rPr>
      <w:b/>
      <w:bCs/>
      <w:strike w:val="0"/>
      <w:dstrike w:val="0"/>
      <w:color w:val="13517D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a3">
    <w:name w:val="Normal (Web)"/>
    <w:basedOn w:val="a"/>
    <w:uiPriority w:val="99"/>
    <w:semiHidden/>
    <w:unhideWhenUsed/>
    <w:rsid w:val="00E81332"/>
    <w:pPr>
      <w:bidi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a11y">
    <w:name w:val="at_a11y"/>
    <w:basedOn w:val="a0"/>
    <w:rsid w:val="00E81332"/>
    <w:rPr>
      <w:sz w:val="24"/>
      <w:szCs w:val="24"/>
      <w:bdr w:val="none" w:sz="0" w:space="0" w:color="auto" w:frame="1"/>
      <w:vertAlign w:val="baseline"/>
    </w:rPr>
  </w:style>
  <w:style w:type="character" w:styleId="a4">
    <w:name w:val="Strong"/>
    <w:basedOn w:val="a0"/>
    <w:uiPriority w:val="22"/>
    <w:qFormat/>
    <w:rsid w:val="00FF7DA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F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F7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8120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14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AAAAAA"/>
              </w:divBdr>
              <w:divsChild>
                <w:div w:id="11185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824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658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4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5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17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96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0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525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514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611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7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299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86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411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56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05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16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4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6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733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56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161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620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55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35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3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39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513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426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4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6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39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15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08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537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24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798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38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254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2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1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86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7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24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96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82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22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741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7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258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8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8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15019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6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7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93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9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33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403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.asco.org/Abstract%20Erratas/2014%20Annual%20Meeting%20Proceedings%20errat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pps.asco.org/coidisplay/generateAbstractCOI.aspx?abstractId=13159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etinglibrary.asco.org/subcategories/2014%20ASCO%20Annual%20Meeting" TargetMode="External"/><Relationship Id="rId11" Type="http://schemas.openxmlformats.org/officeDocument/2006/relationships/image" Target="media/image1.gif"/><Relationship Id="rId5" Type="http://schemas.openxmlformats.org/officeDocument/2006/relationships/hyperlink" Target="http://meetinglibrary.asco.org/abstractbysubcategory/2014%20ASCO%20Annual%20Meeting/175" TargetMode="External"/><Relationship Id="rId10" Type="http://schemas.openxmlformats.org/officeDocument/2006/relationships/hyperlink" Target="http://www.asco.org/portal/jsp/ascov2/generateAbstractCOI.jsp?abstractId=1315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co.ascopubs.org/site/misc/Terms_and_Cond.xhtml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2014-06-27T15:18:00Z</dcterms:created>
  <dcterms:modified xsi:type="dcterms:W3CDTF">2015-02-06T14:27:00Z</dcterms:modified>
</cp:coreProperties>
</file>