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76" w:rsidRPr="00084E39" w:rsidRDefault="00831F76" w:rsidP="00B90EE0">
      <w:pPr>
        <w:bidi w:val="0"/>
        <w:spacing w:after="200"/>
        <w:jc w:val="center"/>
        <w:rPr>
          <w:rFonts w:ascii="Baskerville Old Face" w:eastAsia="Calibri" w:hAnsi="Baskerville Old Face"/>
          <w:b/>
          <w:bCs/>
          <w:sz w:val="48"/>
          <w:szCs w:val="48"/>
        </w:rPr>
      </w:pPr>
      <w:r w:rsidRPr="00084E39">
        <w:rPr>
          <w:rFonts w:ascii="Baskerville Old Face" w:eastAsia="Calibri" w:hAnsi="Baskerville Old Face"/>
          <w:b/>
          <w:bCs/>
          <w:sz w:val="48"/>
          <w:szCs w:val="48"/>
        </w:rPr>
        <w:t>IL-I</w:t>
      </w:r>
      <w:r w:rsidRPr="00084E39">
        <w:rPr>
          <w:rFonts w:ascii="Cambria" w:eastAsia="Calibri" w:hAnsi="Cambria" w:cs="Cambria"/>
          <w:b/>
          <w:bCs/>
          <w:sz w:val="48"/>
          <w:szCs w:val="48"/>
        </w:rPr>
        <w:t>β</w:t>
      </w:r>
      <w:r w:rsidRPr="00084E39">
        <w:rPr>
          <w:rFonts w:ascii="Baskerville Old Face" w:eastAsia="Calibri" w:hAnsi="Baskerville Old Face"/>
          <w:b/>
          <w:bCs/>
          <w:sz w:val="48"/>
          <w:szCs w:val="48"/>
        </w:rPr>
        <w:t xml:space="preserve"> +3954 C / T Polymorphism and Its Clinical Associations in Egyptian Sickle Cell Disease Patients</w:t>
      </w:r>
    </w:p>
    <w:p w:rsidR="00843539" w:rsidRDefault="00843539" w:rsidP="001D7CFD">
      <w:pPr>
        <w:bidi w:val="0"/>
        <w:spacing w:after="200"/>
        <w:jc w:val="both"/>
        <w:rPr>
          <w:rFonts w:ascii="Calibri" w:eastAsia="Calibri" w:hAnsi="Calibri"/>
          <w:b/>
          <w:bCs/>
          <w:sz w:val="22"/>
          <w:szCs w:val="22"/>
        </w:rPr>
      </w:pPr>
    </w:p>
    <w:p w:rsidR="006D2906" w:rsidRPr="006D2906" w:rsidRDefault="006D2906" w:rsidP="00843539">
      <w:pPr>
        <w:bidi w:val="0"/>
        <w:spacing w:after="200"/>
        <w:jc w:val="both"/>
        <w:rPr>
          <w:rFonts w:ascii="Calibri" w:eastAsia="Calibri" w:hAnsi="Calibri"/>
          <w:b/>
          <w:bCs/>
          <w:sz w:val="22"/>
          <w:szCs w:val="22"/>
        </w:rPr>
      </w:pPr>
      <w:proofErr w:type="spellStart"/>
      <w:r w:rsidRPr="006D2906">
        <w:rPr>
          <w:rFonts w:ascii="Calibri" w:eastAsia="Calibri" w:hAnsi="Calibri"/>
          <w:b/>
          <w:bCs/>
          <w:sz w:val="22"/>
          <w:szCs w:val="22"/>
        </w:rPr>
        <w:t>Rasha</w:t>
      </w:r>
      <w:proofErr w:type="spellEnd"/>
      <w:r w:rsidRPr="006D2906">
        <w:rPr>
          <w:rFonts w:ascii="Calibri" w:eastAsia="Calibri" w:hAnsi="Calibri"/>
          <w:b/>
          <w:bCs/>
          <w:sz w:val="22"/>
          <w:szCs w:val="22"/>
        </w:rPr>
        <w:t xml:space="preserve"> Abdel-</w:t>
      </w:r>
      <w:proofErr w:type="spellStart"/>
      <w:r w:rsidRPr="006D2906">
        <w:rPr>
          <w:rFonts w:ascii="Calibri" w:eastAsia="Calibri" w:hAnsi="Calibri"/>
          <w:b/>
          <w:bCs/>
          <w:sz w:val="22"/>
          <w:szCs w:val="22"/>
        </w:rPr>
        <w:t>Raouf</w:t>
      </w:r>
      <w:proofErr w:type="spellEnd"/>
      <w:r w:rsidRPr="006D2906">
        <w:rPr>
          <w:rFonts w:ascii="Calibri" w:eastAsia="Calibri" w:hAnsi="Calibri"/>
          <w:b/>
          <w:bCs/>
          <w:sz w:val="22"/>
          <w:szCs w:val="22"/>
        </w:rPr>
        <w:t xml:space="preserve"> Abdel-Aziz Afifi</w:t>
      </w:r>
      <w:r w:rsidRPr="006D2906">
        <w:rPr>
          <w:rFonts w:ascii="Calibri" w:eastAsia="Calibri" w:hAnsi="Calibri"/>
          <w:b/>
          <w:bCs/>
          <w:sz w:val="22"/>
          <w:szCs w:val="22"/>
          <w:vertAlign w:val="superscript"/>
        </w:rPr>
        <w:t>1</w:t>
      </w:r>
      <w:r w:rsidRPr="006D2906">
        <w:rPr>
          <w:rFonts w:ascii="Calibri" w:eastAsia="Calibri" w:hAnsi="Calibri"/>
          <w:b/>
          <w:bCs/>
          <w:sz w:val="22"/>
          <w:szCs w:val="22"/>
        </w:rPr>
        <w:t>,</w:t>
      </w:r>
      <w:r w:rsidRPr="006D2906">
        <w:rPr>
          <w:rFonts w:asciiTheme="majorHAnsi" w:eastAsia="Cambria" w:hAnsiTheme="majorHAnsi" w:cstheme="majorHAnsi"/>
          <w:b/>
          <w:sz w:val="22"/>
          <w:szCs w:val="22"/>
        </w:rPr>
        <w:t xml:space="preserve"> </w:t>
      </w:r>
      <w:r w:rsidRPr="006D2906">
        <w:rPr>
          <w:rFonts w:ascii="Calibri" w:eastAsia="Calibri" w:hAnsi="Calibri"/>
          <w:b/>
          <w:bCs/>
          <w:sz w:val="22"/>
          <w:szCs w:val="22"/>
        </w:rPr>
        <w:t xml:space="preserve">Yasser </w:t>
      </w:r>
      <w:proofErr w:type="spellStart"/>
      <w:r w:rsidRPr="006D2906">
        <w:rPr>
          <w:rFonts w:ascii="Calibri" w:eastAsia="Calibri" w:hAnsi="Calibri"/>
          <w:b/>
          <w:bCs/>
          <w:sz w:val="22"/>
          <w:szCs w:val="22"/>
        </w:rPr>
        <w:t>Mohamad</w:t>
      </w:r>
      <w:proofErr w:type="spellEnd"/>
      <w:r w:rsidRPr="006D2906">
        <w:rPr>
          <w:rFonts w:ascii="Calibri" w:eastAsia="Calibri" w:hAnsi="Calibri"/>
          <w:b/>
          <w:bCs/>
          <w:sz w:val="22"/>
          <w:szCs w:val="22"/>
        </w:rPr>
        <w:t xml:space="preserve"> Sedky</w:t>
      </w:r>
      <w:r w:rsidR="001D7CFD">
        <w:rPr>
          <w:rFonts w:ascii="Calibri" w:eastAsia="Calibri" w:hAnsi="Calibri"/>
          <w:b/>
          <w:bCs/>
          <w:sz w:val="22"/>
          <w:szCs w:val="22"/>
          <w:vertAlign w:val="superscript"/>
        </w:rPr>
        <w:t>1</w:t>
      </w:r>
      <w:r w:rsidRPr="006D2906">
        <w:rPr>
          <w:rFonts w:ascii="Calibri" w:eastAsia="Calibri" w:hAnsi="Calibri"/>
          <w:b/>
          <w:bCs/>
          <w:sz w:val="22"/>
          <w:szCs w:val="22"/>
        </w:rPr>
        <w:t>,</w:t>
      </w:r>
      <w:r w:rsidRPr="006D2906">
        <w:rPr>
          <w:rFonts w:asciiTheme="majorHAnsi" w:eastAsia="Cambria" w:hAnsiTheme="majorHAnsi" w:cstheme="majorHAnsi"/>
          <w:b/>
          <w:sz w:val="22"/>
          <w:szCs w:val="22"/>
        </w:rPr>
        <w:t xml:space="preserve"> </w:t>
      </w:r>
      <w:proofErr w:type="spellStart"/>
      <w:r w:rsidRPr="006D2906">
        <w:rPr>
          <w:rFonts w:ascii="Calibri" w:eastAsia="Calibri" w:hAnsi="Calibri"/>
          <w:b/>
          <w:bCs/>
          <w:sz w:val="22"/>
          <w:szCs w:val="22"/>
        </w:rPr>
        <w:t>Hesham</w:t>
      </w:r>
      <w:proofErr w:type="spellEnd"/>
      <w:r w:rsidRPr="006D2906">
        <w:rPr>
          <w:rFonts w:ascii="Calibri" w:eastAsia="Calibri" w:hAnsi="Calibri"/>
          <w:b/>
          <w:bCs/>
          <w:sz w:val="22"/>
          <w:szCs w:val="22"/>
        </w:rPr>
        <w:t xml:space="preserve"> Abd-ELKareem</w:t>
      </w:r>
      <w:r w:rsidR="001D7CFD">
        <w:rPr>
          <w:rFonts w:ascii="Calibri" w:eastAsia="Calibri" w:hAnsi="Calibri"/>
          <w:b/>
          <w:bCs/>
          <w:sz w:val="22"/>
          <w:szCs w:val="22"/>
          <w:vertAlign w:val="superscript"/>
        </w:rPr>
        <w:t>2</w:t>
      </w:r>
      <w:r w:rsidRPr="006D2906">
        <w:rPr>
          <w:rFonts w:ascii="Calibri" w:eastAsia="Calibri" w:hAnsi="Calibri"/>
          <w:b/>
          <w:bCs/>
          <w:sz w:val="22"/>
          <w:szCs w:val="22"/>
        </w:rPr>
        <w:t>,</w:t>
      </w:r>
      <w:r w:rsidRPr="006D2906">
        <w:rPr>
          <w:rFonts w:asciiTheme="majorHAnsi" w:eastAsia="Cambria" w:hAnsiTheme="majorHAnsi" w:cstheme="majorHAnsi"/>
          <w:b/>
          <w:sz w:val="22"/>
          <w:szCs w:val="22"/>
        </w:rPr>
        <w:t xml:space="preserve"> </w:t>
      </w:r>
      <w:proofErr w:type="spellStart"/>
      <w:r w:rsidRPr="006D2906">
        <w:rPr>
          <w:rFonts w:ascii="Calibri" w:eastAsia="Calibri" w:hAnsi="Calibri"/>
          <w:b/>
          <w:bCs/>
          <w:sz w:val="22"/>
          <w:szCs w:val="22"/>
        </w:rPr>
        <w:t>Shahira</w:t>
      </w:r>
      <w:proofErr w:type="spellEnd"/>
      <w:r w:rsidRPr="006D2906">
        <w:rPr>
          <w:rFonts w:ascii="Calibri" w:eastAsia="Calibri" w:hAnsi="Calibri"/>
          <w:b/>
          <w:bCs/>
          <w:sz w:val="22"/>
          <w:szCs w:val="22"/>
        </w:rPr>
        <w:t xml:space="preserve"> Kamal </w:t>
      </w:r>
      <w:proofErr w:type="spellStart"/>
      <w:r w:rsidRPr="006D2906">
        <w:rPr>
          <w:rFonts w:ascii="Calibri" w:eastAsia="Calibri" w:hAnsi="Calibri"/>
          <w:b/>
          <w:bCs/>
          <w:sz w:val="22"/>
          <w:szCs w:val="22"/>
        </w:rPr>
        <w:t>Anis</w:t>
      </w:r>
      <w:proofErr w:type="spellEnd"/>
      <w:r w:rsidRPr="006D2906">
        <w:rPr>
          <w:rFonts w:ascii="Calibri" w:eastAsia="Calibri" w:hAnsi="Calibri"/>
          <w:b/>
          <w:bCs/>
          <w:sz w:val="22"/>
          <w:szCs w:val="22"/>
        </w:rPr>
        <w:t xml:space="preserve"> Botros</w:t>
      </w:r>
      <w:r w:rsidR="001D7CFD">
        <w:rPr>
          <w:rFonts w:ascii="Calibri" w:eastAsia="Calibri" w:hAnsi="Calibri"/>
          <w:b/>
          <w:bCs/>
          <w:sz w:val="22"/>
          <w:szCs w:val="22"/>
          <w:vertAlign w:val="superscript"/>
        </w:rPr>
        <w:t>3</w:t>
      </w:r>
    </w:p>
    <w:p w:rsidR="001D7CFD" w:rsidRPr="001D7CFD" w:rsidRDefault="001D7CFD" w:rsidP="001D7CFD">
      <w:pPr>
        <w:bidi w:val="0"/>
        <w:jc w:val="both"/>
        <w:rPr>
          <w:rFonts w:asciiTheme="minorBidi" w:eastAsia="Calibri" w:hAnsiTheme="minorBidi" w:cstheme="minorBidi"/>
          <w:sz w:val="16"/>
          <w:szCs w:val="16"/>
        </w:rPr>
      </w:pPr>
      <w:r w:rsidRPr="001D7CFD">
        <w:rPr>
          <w:rFonts w:asciiTheme="minorBidi" w:eastAsia="Calibri" w:hAnsiTheme="minorBidi" w:cstheme="minorBidi"/>
          <w:sz w:val="16"/>
          <w:szCs w:val="16"/>
          <w:vertAlign w:val="superscript"/>
        </w:rPr>
        <w:t>1</w:t>
      </w:r>
      <w:r w:rsidRPr="001D7CFD">
        <w:rPr>
          <w:rFonts w:asciiTheme="minorBidi" w:eastAsia="Calibri" w:hAnsiTheme="minorBidi" w:cstheme="minorBidi"/>
          <w:sz w:val="16"/>
          <w:szCs w:val="16"/>
        </w:rPr>
        <w:t>Departmen</w:t>
      </w:r>
      <w:r>
        <w:rPr>
          <w:rFonts w:asciiTheme="minorBidi" w:eastAsia="Calibri" w:hAnsiTheme="minorBidi" w:cstheme="minorBidi"/>
          <w:sz w:val="16"/>
          <w:szCs w:val="16"/>
        </w:rPr>
        <w:t>t</w:t>
      </w:r>
      <w:r w:rsidRPr="001D7CFD">
        <w:rPr>
          <w:rFonts w:asciiTheme="minorBidi" w:eastAsia="Calibri" w:hAnsiTheme="minorBidi" w:cstheme="minorBidi"/>
          <w:sz w:val="16"/>
          <w:szCs w:val="16"/>
        </w:rPr>
        <w:t xml:space="preserve"> </w:t>
      </w:r>
      <w:r>
        <w:rPr>
          <w:rFonts w:asciiTheme="minorBidi" w:eastAsia="Calibri" w:hAnsiTheme="minorBidi" w:cstheme="minorBidi"/>
          <w:sz w:val="16"/>
          <w:szCs w:val="16"/>
        </w:rPr>
        <w:t xml:space="preserve">of </w:t>
      </w:r>
      <w:r w:rsidRPr="001D7CFD">
        <w:rPr>
          <w:rFonts w:asciiTheme="minorBidi" w:eastAsia="Calibri" w:hAnsiTheme="minorBidi" w:cstheme="minorBidi"/>
          <w:sz w:val="16"/>
          <w:szCs w:val="16"/>
        </w:rPr>
        <w:t>Pediatrics, Cairo University</w:t>
      </w:r>
      <w:r>
        <w:rPr>
          <w:rFonts w:asciiTheme="minorBidi" w:eastAsia="Calibri" w:hAnsiTheme="minorBidi" w:cstheme="minorBidi"/>
          <w:sz w:val="16"/>
          <w:szCs w:val="16"/>
        </w:rPr>
        <w:t>, Cairo, Egypt</w:t>
      </w:r>
    </w:p>
    <w:p w:rsidR="001D7CFD" w:rsidRPr="001D7CFD" w:rsidRDefault="001D7CFD" w:rsidP="001D7CFD">
      <w:pPr>
        <w:bidi w:val="0"/>
        <w:jc w:val="both"/>
        <w:rPr>
          <w:rFonts w:asciiTheme="minorBidi" w:eastAsia="Calibri" w:hAnsiTheme="minorBidi" w:cstheme="minorBidi"/>
          <w:sz w:val="16"/>
          <w:szCs w:val="16"/>
          <w:vertAlign w:val="superscript"/>
        </w:rPr>
      </w:pPr>
      <w:r w:rsidRPr="001D7CFD">
        <w:rPr>
          <w:rFonts w:asciiTheme="minorBidi" w:eastAsia="Calibri" w:hAnsiTheme="minorBidi" w:cstheme="minorBidi"/>
          <w:sz w:val="16"/>
          <w:szCs w:val="16"/>
          <w:vertAlign w:val="superscript"/>
        </w:rPr>
        <w:t>2</w:t>
      </w:r>
      <w:r w:rsidRPr="001D7CFD">
        <w:rPr>
          <w:rFonts w:asciiTheme="minorBidi" w:eastAsia="Calibri" w:hAnsiTheme="minorBidi" w:cstheme="minorBidi"/>
          <w:sz w:val="16"/>
          <w:szCs w:val="16"/>
        </w:rPr>
        <w:t>Faculty of Medicine, Cairo University</w:t>
      </w:r>
      <w:r>
        <w:rPr>
          <w:rFonts w:asciiTheme="minorBidi" w:eastAsia="Calibri" w:hAnsiTheme="minorBidi" w:cstheme="minorBidi"/>
          <w:sz w:val="16"/>
          <w:szCs w:val="16"/>
        </w:rPr>
        <w:t>, Cairo, Egypt</w:t>
      </w:r>
      <w:r w:rsidRPr="001D7CFD" w:rsidDel="00D11645">
        <w:rPr>
          <w:rFonts w:asciiTheme="minorBidi" w:eastAsia="Calibri" w:hAnsiTheme="minorBidi" w:cstheme="minorBidi"/>
          <w:sz w:val="16"/>
          <w:szCs w:val="16"/>
          <w:vertAlign w:val="superscript"/>
        </w:rPr>
        <w:t xml:space="preserve"> </w:t>
      </w:r>
    </w:p>
    <w:p w:rsidR="001D7CFD" w:rsidRPr="001D7CFD" w:rsidDel="00D11645" w:rsidRDefault="001D7CFD" w:rsidP="001D7CFD">
      <w:pPr>
        <w:bidi w:val="0"/>
        <w:jc w:val="both"/>
        <w:rPr>
          <w:rFonts w:asciiTheme="minorBidi" w:eastAsia="Calibri" w:hAnsiTheme="minorBidi" w:cstheme="minorBidi"/>
          <w:sz w:val="16"/>
          <w:szCs w:val="16"/>
        </w:rPr>
      </w:pPr>
      <w:r w:rsidRPr="001D7CFD">
        <w:rPr>
          <w:rFonts w:asciiTheme="minorBidi" w:eastAsia="Calibri" w:hAnsiTheme="minorBidi" w:cstheme="minorBidi"/>
          <w:sz w:val="16"/>
          <w:szCs w:val="16"/>
          <w:vertAlign w:val="superscript"/>
        </w:rPr>
        <w:t>3</w:t>
      </w:r>
      <w:r w:rsidRPr="001D7CFD">
        <w:rPr>
          <w:rFonts w:asciiTheme="minorBidi" w:eastAsia="Calibri" w:hAnsiTheme="minorBidi" w:cstheme="minorBidi"/>
          <w:sz w:val="16"/>
          <w:szCs w:val="16"/>
        </w:rPr>
        <w:t xml:space="preserve">Department </w:t>
      </w:r>
      <w:r>
        <w:rPr>
          <w:rFonts w:asciiTheme="minorBidi" w:eastAsia="Calibri" w:hAnsiTheme="minorBidi" w:cstheme="minorBidi"/>
          <w:sz w:val="16"/>
          <w:szCs w:val="16"/>
        </w:rPr>
        <w:t xml:space="preserve">of </w:t>
      </w:r>
      <w:r w:rsidRPr="001D7CFD">
        <w:rPr>
          <w:rFonts w:asciiTheme="minorBidi" w:eastAsia="Calibri" w:hAnsiTheme="minorBidi" w:cstheme="minorBidi"/>
          <w:sz w:val="16"/>
          <w:szCs w:val="16"/>
        </w:rPr>
        <w:t>Clinical Pathology, Cairo University</w:t>
      </w:r>
      <w:r>
        <w:rPr>
          <w:rFonts w:asciiTheme="minorBidi" w:eastAsia="Calibri" w:hAnsiTheme="minorBidi" w:cstheme="minorBidi"/>
          <w:sz w:val="16"/>
          <w:szCs w:val="16"/>
        </w:rPr>
        <w:t>, Cairo, Egypt</w:t>
      </w:r>
    </w:p>
    <w:p w:rsidR="005E486C" w:rsidRPr="00325F09" w:rsidRDefault="005E486C" w:rsidP="00660E6F">
      <w:pPr>
        <w:pStyle w:val="Heading3"/>
        <w:rPr>
          <w:b/>
          <w:bCs w:val="0"/>
          <w:highlight w:val="yellow"/>
        </w:rPr>
      </w:pPr>
    </w:p>
    <w:p w:rsidR="00660E6F" w:rsidRPr="001D7CFD" w:rsidRDefault="001F704C" w:rsidP="001D7CFD">
      <w:pPr>
        <w:pStyle w:val="Heading3"/>
        <w:rPr>
          <w:rFonts w:eastAsia="Calibri"/>
          <w:lang w:val="en-CA"/>
        </w:rPr>
      </w:pPr>
      <w:r w:rsidRPr="001D7CFD">
        <w:rPr>
          <w:b/>
          <w:bCs w:val="0"/>
        </w:rPr>
        <w:t>Corresponding Author:</w:t>
      </w:r>
      <w:r w:rsidR="001D7CFD" w:rsidRPr="001D7CFD">
        <w:rPr>
          <w:rFonts w:ascii="Calibri" w:eastAsia="Calibri" w:hAnsi="Calibri" w:cs="Times New Roman"/>
          <w:b/>
          <w:sz w:val="22"/>
          <w:szCs w:val="22"/>
          <w:lang w:bidi="ar-SA"/>
        </w:rPr>
        <w:t xml:space="preserve"> </w:t>
      </w:r>
      <w:proofErr w:type="spellStart"/>
      <w:r w:rsidR="001D7CFD" w:rsidRPr="001D7CFD">
        <w:t>Rasha</w:t>
      </w:r>
      <w:proofErr w:type="spellEnd"/>
      <w:r w:rsidR="001D7CFD" w:rsidRPr="001D7CFD">
        <w:t xml:space="preserve"> Abdel-</w:t>
      </w:r>
      <w:proofErr w:type="spellStart"/>
      <w:r w:rsidR="001D7CFD" w:rsidRPr="001D7CFD">
        <w:t>Raouf</w:t>
      </w:r>
      <w:proofErr w:type="spellEnd"/>
      <w:r w:rsidR="001D7CFD" w:rsidRPr="001D7CFD">
        <w:t xml:space="preserve"> Abdel-Aziz </w:t>
      </w:r>
      <w:proofErr w:type="spellStart"/>
      <w:r w:rsidR="001D7CFD" w:rsidRPr="001D7CFD">
        <w:t>Afifi</w:t>
      </w:r>
      <w:proofErr w:type="spellEnd"/>
      <w:r w:rsidR="001D7CFD" w:rsidRPr="001D7CFD">
        <w:t>,</w:t>
      </w:r>
      <w:r w:rsidR="001D7CFD" w:rsidRPr="001D7CFD">
        <w:rPr>
          <w:rFonts w:eastAsia="Calibri"/>
          <w:lang w:bidi="ar-SA"/>
        </w:rPr>
        <w:t xml:space="preserve"> </w:t>
      </w:r>
      <w:r w:rsidR="001D7CFD" w:rsidRPr="001D7CFD">
        <w:t>Department of Pediatrics, Cairo University, Cairo, Egypt</w:t>
      </w:r>
      <w:r w:rsidRPr="001D7CFD">
        <w:rPr>
          <w:b/>
          <w:bCs w:val="0"/>
        </w:rPr>
        <w:t xml:space="preserve"> </w:t>
      </w:r>
    </w:p>
    <w:p w:rsidR="001D7CFD" w:rsidRPr="001D7CFD" w:rsidRDefault="003C33FF" w:rsidP="001D7CFD">
      <w:pPr>
        <w:pStyle w:val="Heading3"/>
        <w:rPr>
          <w:lang w:val="en-CA"/>
        </w:rPr>
      </w:pPr>
      <w:r w:rsidRPr="001D7CFD">
        <w:t xml:space="preserve">Tel: </w:t>
      </w:r>
      <w:r w:rsidR="001D7CFD" w:rsidRPr="001D7CFD">
        <w:t>002-01004314771</w:t>
      </w:r>
    </w:p>
    <w:p w:rsidR="005A218E" w:rsidRPr="00325F09" w:rsidRDefault="003C33FF" w:rsidP="001D7CFD">
      <w:pPr>
        <w:pStyle w:val="Heading3"/>
        <w:rPr>
          <w:highlight w:val="yellow"/>
          <w:lang w:val="en-CA"/>
        </w:rPr>
      </w:pPr>
      <w:r w:rsidRPr="00325F09">
        <w:rPr>
          <w:highlight w:val="yellow"/>
        </w:rPr>
        <w:t>Fax:</w:t>
      </w:r>
      <w:r w:rsidR="005A218E" w:rsidRPr="00325F09">
        <w:rPr>
          <w:rFonts w:asciiTheme="minorHAnsi" w:eastAsia="Calibri" w:hAnsiTheme="minorHAnsi"/>
          <w:highlight w:val="yellow"/>
          <w:lang w:val="en-CA"/>
        </w:rPr>
        <w:t xml:space="preserve"> </w:t>
      </w:r>
    </w:p>
    <w:p w:rsidR="00014314" w:rsidRPr="00F85A73" w:rsidRDefault="003C33FF" w:rsidP="001D7CFD">
      <w:pPr>
        <w:pStyle w:val="Heading3"/>
      </w:pPr>
      <w:r w:rsidRPr="001D7CFD">
        <w:t>Email:</w:t>
      </w:r>
      <w:r w:rsidR="001D7CFD" w:rsidRPr="001D7CFD">
        <w:t xml:space="preserve"> </w:t>
      </w:r>
      <w:hyperlink r:id="rId8" w:history="1">
        <w:r w:rsidR="001D7CFD" w:rsidRPr="001D7CFD">
          <w:rPr>
            <w:rStyle w:val="Hyperlink"/>
            <w:rFonts w:cstheme="minorBidi"/>
            <w:color w:val="auto"/>
          </w:rPr>
          <w:t>r_abdelraouf@yahoo.com</w:t>
        </w:r>
      </w:hyperlink>
      <w:r w:rsidR="00BE0C51" w:rsidRPr="001D7CFD">
        <w:t xml:space="preserve"> </w:t>
      </w:r>
    </w:p>
    <w:p w:rsidR="003C33FF" w:rsidRPr="00F85A73" w:rsidRDefault="003C33FF" w:rsidP="00014314">
      <w:pPr>
        <w:pStyle w:val="Heading3"/>
      </w:pPr>
    </w:p>
    <w:p w:rsidR="007029FB" w:rsidRPr="00F85A73" w:rsidRDefault="007029FB" w:rsidP="00B81E0B">
      <w:pPr>
        <w:pStyle w:val="a5"/>
        <w:tabs>
          <w:tab w:val="left" w:pos="8647"/>
        </w:tabs>
        <w:spacing w:line="216" w:lineRule="auto"/>
        <w:ind w:left="8640"/>
        <w:rPr>
          <w:rFonts w:asciiTheme="minorHAnsi" w:hAnsiTheme="minorHAnsi"/>
          <w:sz w:val="14"/>
          <w:szCs w:val="14"/>
        </w:rPr>
      </w:pPr>
      <w:r w:rsidRPr="00F85A73">
        <w:rPr>
          <w:rFonts w:asciiTheme="minorHAnsi" w:hAnsiTheme="minorHAnsi"/>
          <w:sz w:val="14"/>
          <w:szCs w:val="14"/>
        </w:rPr>
        <w:t xml:space="preserve">Received: </w:t>
      </w:r>
      <w:r w:rsidR="00B81E0B">
        <w:rPr>
          <w:rFonts w:asciiTheme="minorHAnsi" w:hAnsiTheme="minorHAnsi"/>
          <w:sz w:val="14"/>
          <w:szCs w:val="14"/>
          <w:lang w:bidi="fa-IR"/>
        </w:rPr>
        <w:t>28</w:t>
      </w:r>
      <w:r w:rsidRPr="00F85A73">
        <w:rPr>
          <w:rFonts w:asciiTheme="minorHAnsi" w:hAnsiTheme="minorHAnsi"/>
          <w:sz w:val="14"/>
          <w:szCs w:val="14"/>
          <w:lang w:bidi="fa-IR"/>
        </w:rPr>
        <w:t xml:space="preserve">, </w:t>
      </w:r>
      <w:r w:rsidR="00B81E0B">
        <w:rPr>
          <w:rFonts w:asciiTheme="minorHAnsi" w:hAnsiTheme="minorHAnsi"/>
          <w:sz w:val="14"/>
          <w:szCs w:val="14"/>
          <w:lang w:bidi="fa-IR"/>
        </w:rPr>
        <w:t>Apr</w:t>
      </w:r>
      <w:r w:rsidR="009E2B1E" w:rsidRPr="00F85A73">
        <w:rPr>
          <w:rFonts w:asciiTheme="minorHAnsi" w:hAnsiTheme="minorHAnsi"/>
          <w:sz w:val="14"/>
          <w:szCs w:val="14"/>
          <w:lang w:bidi="fa-IR"/>
        </w:rPr>
        <w:t xml:space="preserve">, </w:t>
      </w:r>
      <w:r w:rsidR="00640F31" w:rsidRPr="00F85A73">
        <w:rPr>
          <w:rFonts w:asciiTheme="minorHAnsi" w:hAnsiTheme="minorHAnsi"/>
          <w:sz w:val="14"/>
          <w:szCs w:val="14"/>
          <w:lang w:bidi="fa-IR"/>
        </w:rPr>
        <w:t>201</w:t>
      </w:r>
      <w:r w:rsidR="00B81E0B">
        <w:rPr>
          <w:rFonts w:asciiTheme="minorHAnsi" w:hAnsiTheme="minorHAnsi"/>
          <w:sz w:val="14"/>
          <w:szCs w:val="14"/>
          <w:lang w:bidi="fa-IR"/>
        </w:rPr>
        <w:t>8</w:t>
      </w:r>
    </w:p>
    <w:p w:rsidR="007029FB" w:rsidRPr="00F85A73" w:rsidRDefault="007029FB" w:rsidP="00B81E0B">
      <w:pPr>
        <w:pStyle w:val="a5"/>
        <w:spacing w:line="216" w:lineRule="auto"/>
        <w:ind w:left="8640"/>
        <w:rPr>
          <w:rFonts w:asciiTheme="minorHAnsi" w:hAnsiTheme="minorHAnsi"/>
          <w:sz w:val="14"/>
          <w:szCs w:val="14"/>
        </w:rPr>
      </w:pPr>
      <w:r w:rsidRPr="00F85A73">
        <w:rPr>
          <w:rFonts w:asciiTheme="minorHAnsi" w:hAnsiTheme="minorHAnsi"/>
          <w:sz w:val="14"/>
          <w:szCs w:val="14"/>
        </w:rPr>
        <w:t xml:space="preserve">Accepted: </w:t>
      </w:r>
      <w:r w:rsidR="00B81E0B">
        <w:rPr>
          <w:rFonts w:asciiTheme="minorHAnsi" w:hAnsiTheme="minorHAnsi"/>
          <w:sz w:val="14"/>
          <w:szCs w:val="14"/>
        </w:rPr>
        <w:t>24</w:t>
      </w:r>
      <w:r w:rsidRPr="00F85A73">
        <w:rPr>
          <w:rFonts w:asciiTheme="minorHAnsi" w:hAnsiTheme="minorHAnsi"/>
          <w:sz w:val="14"/>
          <w:szCs w:val="14"/>
        </w:rPr>
        <w:t xml:space="preserve">, </w:t>
      </w:r>
      <w:r w:rsidR="00B81E0B">
        <w:rPr>
          <w:rFonts w:asciiTheme="minorHAnsi" w:hAnsiTheme="minorHAnsi"/>
          <w:sz w:val="14"/>
          <w:szCs w:val="14"/>
          <w:lang w:bidi="fa-IR"/>
        </w:rPr>
        <w:t>Dec</w:t>
      </w:r>
      <w:r w:rsidR="009E2B1E" w:rsidRPr="00F85A73">
        <w:rPr>
          <w:rFonts w:asciiTheme="minorHAnsi" w:hAnsiTheme="minorHAnsi"/>
          <w:sz w:val="14"/>
          <w:szCs w:val="14"/>
          <w:lang w:bidi="fa-IR"/>
        </w:rPr>
        <w:t>, 201</w:t>
      </w:r>
      <w:r w:rsidR="00100A62">
        <w:rPr>
          <w:rFonts w:asciiTheme="minorHAnsi" w:hAnsiTheme="minorHAnsi"/>
          <w:sz w:val="14"/>
          <w:szCs w:val="14"/>
          <w:lang w:bidi="fa-IR"/>
        </w:rPr>
        <w:t>8</w:t>
      </w:r>
    </w:p>
    <w:p w:rsidR="007029FB" w:rsidRPr="00F85A73" w:rsidRDefault="007029FB" w:rsidP="006650BB">
      <w:pPr>
        <w:pStyle w:val="a5"/>
        <w:pBdr>
          <w:bottom w:val="single" w:sz="12" w:space="1" w:color="auto"/>
        </w:pBdr>
        <w:spacing w:line="216" w:lineRule="auto"/>
        <w:jc w:val="right"/>
        <w:rPr>
          <w:rFonts w:asciiTheme="minorHAnsi" w:hAnsiTheme="minorHAnsi"/>
          <w:sz w:val="14"/>
          <w:szCs w:val="14"/>
        </w:rPr>
      </w:pPr>
    </w:p>
    <w:p w:rsidR="00FC5087" w:rsidRPr="00F85A73" w:rsidRDefault="00FC5087" w:rsidP="00FC5087">
      <w:pPr>
        <w:pStyle w:val="Heading1"/>
        <w:rPr>
          <w:rFonts w:ascii="Verdana" w:hAnsi="Verdana"/>
          <w:sz w:val="18"/>
          <w:szCs w:val="18"/>
        </w:rPr>
      </w:pPr>
      <w:r w:rsidRPr="00F85A73">
        <w:t>Abstract</w:t>
      </w:r>
    </w:p>
    <w:p w:rsidR="00A6303F" w:rsidRPr="00CD607B" w:rsidRDefault="00A6303F" w:rsidP="00CD607B">
      <w:pPr>
        <w:bidi w:val="0"/>
        <w:jc w:val="both"/>
        <w:rPr>
          <w:rFonts w:ascii="Verdana" w:eastAsia="Calibri" w:hAnsi="Verdana"/>
          <w:b/>
          <w:sz w:val="18"/>
          <w:szCs w:val="18"/>
        </w:rPr>
      </w:pPr>
      <w:r w:rsidRPr="00CD607B">
        <w:rPr>
          <w:rFonts w:ascii="Verdana" w:eastAsia="Calibri" w:hAnsi="Verdana"/>
          <w:b/>
          <w:sz w:val="18"/>
          <w:szCs w:val="18"/>
        </w:rPr>
        <w:t>Background:</w:t>
      </w:r>
      <w:r w:rsidRPr="00CD607B">
        <w:rPr>
          <w:rFonts w:ascii="Verdana" w:eastAsiaTheme="minorHAnsi" w:hAnsi="Verdana"/>
          <w:sz w:val="18"/>
          <w:szCs w:val="18"/>
        </w:rPr>
        <w:t xml:space="preserve"> </w:t>
      </w:r>
      <w:r w:rsidR="00CD607B" w:rsidRPr="00CD607B">
        <w:rPr>
          <w:rFonts w:ascii="Verdana" w:eastAsia="Cambria" w:hAnsi="Verdana"/>
          <w:sz w:val="18"/>
          <w:szCs w:val="18"/>
        </w:rPr>
        <w:t>Sickle cell disease (SCD) is a hereditary disorder characterized by hemolytic anemia with different clinical manifestations. Patients with SCD exhibit a chronic inflammatory state and reduced length and quality of life</w:t>
      </w:r>
      <w:r w:rsidR="00CD607B" w:rsidRPr="00CD607B">
        <w:rPr>
          <w:rFonts w:ascii="Verdana" w:eastAsia="Cambria" w:hAnsi="Verdana"/>
          <w:b/>
          <w:bCs/>
          <w:sz w:val="18"/>
          <w:szCs w:val="18"/>
        </w:rPr>
        <w:t xml:space="preserve">. </w:t>
      </w:r>
      <w:r w:rsidR="00CD607B" w:rsidRPr="00CD607B">
        <w:rPr>
          <w:rFonts w:ascii="Verdana" w:eastAsia="Cambria" w:hAnsi="Verdana"/>
          <w:color w:val="000000"/>
          <w:sz w:val="18"/>
          <w:szCs w:val="18"/>
        </w:rPr>
        <w:t>Interleukin-</w:t>
      </w:r>
      <w:r w:rsidR="00CD607B" w:rsidRPr="00CD607B">
        <w:rPr>
          <w:rFonts w:ascii="Verdana" w:eastAsia="Cambria" w:hAnsi="Verdana"/>
          <w:sz w:val="18"/>
          <w:szCs w:val="18"/>
        </w:rPr>
        <w:t xml:space="preserve">1 </w:t>
      </w:r>
      <w:r w:rsidR="00CD607B" w:rsidRPr="00CD607B">
        <w:rPr>
          <w:rFonts w:ascii="Verdana" w:eastAsia="Cambria" w:hAnsi="Verdana"/>
          <w:bCs/>
          <w:sz w:val="18"/>
          <w:szCs w:val="18"/>
        </w:rPr>
        <w:t>β</w:t>
      </w:r>
      <w:r w:rsidR="00CD607B" w:rsidRPr="00CD607B">
        <w:rPr>
          <w:rFonts w:ascii="Verdana" w:eastAsia="Cambria" w:hAnsi="Verdana"/>
          <w:sz w:val="18"/>
          <w:szCs w:val="18"/>
        </w:rPr>
        <w:t xml:space="preserve"> (</w:t>
      </w:r>
      <w:r w:rsidR="00CD607B" w:rsidRPr="00CD607B">
        <w:rPr>
          <w:rFonts w:ascii="Verdana" w:eastAsia="Cambria" w:hAnsi="Verdana"/>
          <w:color w:val="000000"/>
          <w:sz w:val="18"/>
          <w:szCs w:val="18"/>
        </w:rPr>
        <w:t xml:space="preserve">IL-1β) is important in acute and chronic diseases; and its single nucleotide polymorphisms (SNP) have been considered as predictors of prognosis in several inflammatory conditions. </w:t>
      </w:r>
      <w:r w:rsidR="00CD607B" w:rsidRPr="00CD607B">
        <w:rPr>
          <w:rFonts w:ascii="Verdana" w:eastAsia="Cambria" w:hAnsi="Verdana"/>
          <w:sz w:val="18"/>
          <w:szCs w:val="18"/>
        </w:rPr>
        <w:t>This study aimed at exploring IL-1β (+3954C/T) SNP as a potential genetic modifier and/or predictor of SCD clinical and laboratory phenotypes.</w:t>
      </w:r>
    </w:p>
    <w:p w:rsidR="00CD607B" w:rsidRPr="00CD607B" w:rsidRDefault="00460B15" w:rsidP="00CD607B">
      <w:pPr>
        <w:bidi w:val="0"/>
        <w:jc w:val="both"/>
        <w:rPr>
          <w:rFonts w:ascii="Verdana" w:eastAsia="Calibri" w:hAnsi="Verdana"/>
          <w:b/>
          <w:sz w:val="18"/>
          <w:szCs w:val="18"/>
        </w:rPr>
      </w:pPr>
      <w:r w:rsidRPr="00CD607B">
        <w:rPr>
          <w:rFonts w:ascii="Verdana" w:eastAsia="Calibri" w:hAnsi="Verdana"/>
          <w:b/>
          <w:sz w:val="18"/>
          <w:szCs w:val="18"/>
        </w:rPr>
        <w:t xml:space="preserve">Materials and Methods: </w:t>
      </w:r>
      <w:r w:rsidR="00CD607B" w:rsidRPr="00CD607B">
        <w:rPr>
          <w:rFonts w:ascii="Verdana" w:eastAsia="Cambria" w:hAnsi="Verdana"/>
          <w:sz w:val="18"/>
          <w:szCs w:val="18"/>
        </w:rPr>
        <w:t>This cross-sectional study involved 50 SCD patients and 50 age, sex and ethnicity-matched healthy individuals. IL-1β (+3954C/T) SNP was identified by PCR-RFLP. Associations between IL-1β (</w:t>
      </w:r>
      <w:proofErr w:type="gramStart"/>
      <w:r w:rsidR="00CD607B" w:rsidRPr="00CD607B">
        <w:rPr>
          <w:rFonts w:ascii="Verdana" w:eastAsia="Cambria" w:hAnsi="Verdana"/>
          <w:sz w:val="18"/>
          <w:szCs w:val="18"/>
        </w:rPr>
        <w:t>+3954</w:t>
      </w:r>
      <w:proofErr w:type="gramEnd"/>
      <w:r w:rsidR="00CD607B">
        <w:rPr>
          <w:rFonts w:ascii="Verdana" w:eastAsia="Cambria" w:hAnsi="Verdana"/>
          <w:sz w:val="18"/>
          <w:szCs w:val="18"/>
        </w:rPr>
        <w:t xml:space="preserve"> </w:t>
      </w:r>
      <w:r w:rsidR="00CD607B" w:rsidRPr="00CD607B">
        <w:rPr>
          <w:rFonts w:ascii="Verdana" w:eastAsia="Cambria" w:hAnsi="Verdana"/>
          <w:sz w:val="18"/>
          <w:szCs w:val="18"/>
        </w:rPr>
        <w:t>C/T) SNP and the clinical and laboratory profiles of patients with SCD were studied.</w:t>
      </w:r>
    </w:p>
    <w:p w:rsidR="00A6303F" w:rsidRPr="00CD607B" w:rsidRDefault="00460B15" w:rsidP="00CD607B">
      <w:pPr>
        <w:bidi w:val="0"/>
        <w:jc w:val="both"/>
        <w:rPr>
          <w:rFonts w:ascii="Verdana" w:eastAsia="Calibri" w:hAnsi="Verdana"/>
          <w:sz w:val="18"/>
          <w:szCs w:val="18"/>
        </w:rPr>
      </w:pPr>
      <w:r w:rsidRPr="00CD607B">
        <w:rPr>
          <w:rFonts w:ascii="Verdana" w:eastAsia="Calibri" w:hAnsi="Verdana"/>
          <w:b/>
          <w:sz w:val="18"/>
          <w:szCs w:val="18"/>
        </w:rPr>
        <w:t xml:space="preserve">Results: </w:t>
      </w:r>
      <w:r w:rsidR="00CD607B" w:rsidRPr="00CD607B">
        <w:rPr>
          <w:rFonts w:ascii="Verdana" w:eastAsia="Cambria" w:hAnsi="Verdana"/>
          <w:sz w:val="18"/>
          <w:szCs w:val="18"/>
        </w:rPr>
        <w:t>It was found that the homozygous mutant genotype TT was significantly higher in cases compared to controls [13(26%) vs. 3(6%) respectively; p=0.006, OR (95%CI): 5.505(1.460-20.756)]. The homozygous mutant genotype TT was associated with a higher mean pulmonary arterial pressure when compared to the CC and CT genotype (42.62 vs. 33.49 mmHg, p&lt;0.001).</w:t>
      </w:r>
    </w:p>
    <w:p w:rsidR="00CD607B" w:rsidRPr="00CD607B" w:rsidRDefault="00460B15" w:rsidP="00CD607B">
      <w:pPr>
        <w:bidi w:val="0"/>
        <w:jc w:val="both"/>
        <w:rPr>
          <w:rFonts w:ascii="Verdana" w:hAnsi="Verdana" w:cs="Calibri"/>
          <w:sz w:val="18"/>
          <w:szCs w:val="18"/>
        </w:rPr>
      </w:pPr>
      <w:r w:rsidRPr="00CD607B">
        <w:rPr>
          <w:rFonts w:ascii="Verdana" w:eastAsia="Calibri" w:hAnsi="Verdana"/>
          <w:b/>
          <w:sz w:val="18"/>
          <w:szCs w:val="18"/>
        </w:rPr>
        <w:t xml:space="preserve">Conclusion: </w:t>
      </w:r>
      <w:r w:rsidR="00CD607B" w:rsidRPr="00CD607B">
        <w:rPr>
          <w:rFonts w:ascii="Verdana" w:hAnsi="Verdana" w:cs="Calibri"/>
          <w:sz w:val="18"/>
          <w:szCs w:val="18"/>
        </w:rPr>
        <w:t xml:space="preserve">There is an increased prevalence of the mutant genotype of IL-1β +3954 SNP in Egyptian SCD patients. Regarding disease complications, the mutant genotype was more prevalent in cases complicated by pulmonary hypertension. These findings point to the possible role of IL-1β +3954 SNP in the pathophysiology of SCD and its manifestations. </w:t>
      </w:r>
    </w:p>
    <w:p w:rsidR="00F905CC" w:rsidRDefault="00F905CC" w:rsidP="00CD607B">
      <w:pPr>
        <w:bidi w:val="0"/>
        <w:jc w:val="both"/>
        <w:rPr>
          <w:rFonts w:ascii="Verdana" w:hAnsi="Verdana" w:cs="Calibri"/>
          <w:b/>
          <w:bCs/>
          <w:sz w:val="18"/>
          <w:szCs w:val="18"/>
        </w:rPr>
      </w:pPr>
    </w:p>
    <w:p w:rsidR="00CD607B" w:rsidRPr="00CD607B" w:rsidRDefault="00F905CC" w:rsidP="0074088F">
      <w:pPr>
        <w:bidi w:val="0"/>
        <w:spacing w:line="360" w:lineRule="auto"/>
        <w:jc w:val="both"/>
        <w:rPr>
          <w:rFonts w:ascii="Verdana" w:eastAsia="Calibri" w:hAnsi="Verdana"/>
          <w:b/>
          <w:bCs/>
          <w:sz w:val="18"/>
          <w:szCs w:val="18"/>
          <w:lang w:bidi="fa-IR"/>
        </w:rPr>
      </w:pPr>
      <w:r w:rsidRPr="00F905CC">
        <w:rPr>
          <w:rFonts w:ascii="Verdana" w:hAnsi="Verdana" w:cs="Calibri"/>
          <w:b/>
          <w:bCs/>
          <w:sz w:val="18"/>
          <w:szCs w:val="18"/>
        </w:rPr>
        <w:t>Keywords</w:t>
      </w:r>
      <w:r w:rsidR="005A218E">
        <w:rPr>
          <w:rFonts w:ascii="Verdana" w:hAnsi="Verdana" w:cs="Calibri"/>
          <w:b/>
          <w:bCs/>
          <w:sz w:val="18"/>
          <w:szCs w:val="18"/>
        </w:rPr>
        <w:t xml:space="preserve">: </w:t>
      </w:r>
      <w:r w:rsidR="00CD607B" w:rsidRPr="00CD607B">
        <w:rPr>
          <w:rFonts w:ascii="Verdana" w:eastAsia="Calibri" w:hAnsi="Verdana"/>
          <w:sz w:val="18"/>
          <w:szCs w:val="18"/>
          <w:lang w:bidi="fa-IR"/>
        </w:rPr>
        <w:t xml:space="preserve">Sickle cell disease; Interleukin-1 beta; </w:t>
      </w:r>
      <w:r w:rsidR="0074088F">
        <w:rPr>
          <w:rFonts w:ascii="Verdana" w:eastAsia="Calibri" w:hAnsi="Verdana"/>
          <w:sz w:val="18"/>
          <w:szCs w:val="18"/>
          <w:lang w:bidi="fa-IR"/>
        </w:rPr>
        <w:t>S</w:t>
      </w:r>
      <w:r w:rsidR="00CD607B" w:rsidRPr="00CD607B">
        <w:rPr>
          <w:rFonts w:ascii="Verdana" w:eastAsia="Calibri" w:hAnsi="Verdana"/>
          <w:sz w:val="18"/>
          <w:szCs w:val="18"/>
          <w:lang w:bidi="fa-IR"/>
        </w:rPr>
        <w:t>ingle nucleotide polymorphism; Hypertension</w:t>
      </w:r>
      <w:r w:rsidR="00CD607B">
        <w:rPr>
          <w:rFonts w:ascii="Verdana" w:eastAsia="Calibri" w:hAnsi="Verdana"/>
          <w:sz w:val="18"/>
          <w:szCs w:val="18"/>
          <w:lang w:bidi="fa-IR"/>
        </w:rPr>
        <w:t>;</w:t>
      </w:r>
      <w:r w:rsidR="00CD607B" w:rsidRPr="00CD607B">
        <w:rPr>
          <w:rFonts w:ascii="Verdana" w:eastAsia="Calibri" w:hAnsi="Verdana"/>
          <w:sz w:val="18"/>
          <w:szCs w:val="18"/>
          <w:lang w:bidi="fa-IR"/>
        </w:rPr>
        <w:t xml:space="preserve"> Pulmonary</w:t>
      </w:r>
    </w:p>
    <w:p w:rsidR="003B02EF" w:rsidRPr="00F85A73" w:rsidRDefault="003B02EF" w:rsidP="00652CE3">
      <w:pPr>
        <w:pBdr>
          <w:bottom w:val="single" w:sz="4" w:space="1" w:color="auto"/>
        </w:pBdr>
        <w:bidi w:val="0"/>
        <w:spacing w:line="216" w:lineRule="auto"/>
        <w:jc w:val="both"/>
        <w:rPr>
          <w:rFonts w:ascii="Verdana" w:hAnsi="Verdana" w:cs="Calibri"/>
          <w:sz w:val="18"/>
          <w:szCs w:val="18"/>
        </w:rPr>
      </w:pPr>
    </w:p>
    <w:p w:rsidR="009D63A6" w:rsidRPr="00F85A73" w:rsidRDefault="009D63A6" w:rsidP="009D63A6">
      <w:pPr>
        <w:pStyle w:val="a9"/>
      </w:pPr>
    </w:p>
    <w:p w:rsidR="009D63A6" w:rsidRPr="00F85A73" w:rsidRDefault="009D63A6" w:rsidP="00263024">
      <w:pPr>
        <w:autoSpaceDE w:val="0"/>
        <w:autoSpaceDN w:val="0"/>
        <w:bidi w:val="0"/>
        <w:adjustRightInd w:val="0"/>
        <w:rPr>
          <w:b/>
          <w:iCs/>
        </w:rPr>
        <w:sectPr w:rsidR="009D63A6" w:rsidRPr="00F85A73" w:rsidSect="00FA782C">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080" w:bottom="1440" w:left="1080" w:header="432" w:footer="720" w:gutter="0"/>
          <w:pgNumType w:start="5"/>
          <w:cols w:space="720"/>
          <w:titlePg/>
          <w:docGrid w:linePitch="360"/>
        </w:sectPr>
      </w:pPr>
    </w:p>
    <w:p w:rsidR="00414A65" w:rsidRPr="00F85A73" w:rsidRDefault="00414A65" w:rsidP="00E31560">
      <w:pPr>
        <w:pStyle w:val="Heading1"/>
        <w:spacing w:line="216" w:lineRule="auto"/>
      </w:pPr>
      <w:r w:rsidRPr="00F85A73">
        <w:lastRenderedPageBreak/>
        <w:t>Introduction</w:t>
      </w:r>
    </w:p>
    <w:p w:rsidR="00CD607B" w:rsidRPr="00CD607B" w:rsidRDefault="004B036D" w:rsidP="00B33EF7">
      <w:pPr>
        <w:bidi w:val="0"/>
        <w:contextualSpacing/>
        <w:jc w:val="both"/>
        <w:rPr>
          <w:rFonts w:ascii="Calibri" w:eastAsia="Cambria" w:hAnsi="Calibri"/>
          <w:color w:val="403152"/>
          <w:sz w:val="22"/>
          <w:szCs w:val="22"/>
          <w:lang w:bidi="fa-IR"/>
        </w:rPr>
      </w:pPr>
      <w:r>
        <w:rPr>
          <w:rFonts w:ascii="Calibri" w:eastAsia="Cambria" w:hAnsi="Calibri"/>
          <w:color w:val="000000"/>
          <w:sz w:val="22"/>
          <w:szCs w:val="22"/>
        </w:rPr>
        <w:t xml:space="preserve">   </w:t>
      </w:r>
      <w:r w:rsidR="00CD607B" w:rsidRPr="00CD607B">
        <w:rPr>
          <w:rFonts w:ascii="Calibri" w:eastAsia="Cambria" w:hAnsi="Calibri"/>
          <w:color w:val="000000"/>
          <w:sz w:val="22"/>
          <w:szCs w:val="22"/>
        </w:rPr>
        <w:t>Sickle cell disease (SCD) is a generic term used to define a group of genetic changes characterized by the dominance of hemoglobin S (</w:t>
      </w:r>
      <w:proofErr w:type="spellStart"/>
      <w:r w:rsidR="00CD607B" w:rsidRPr="00CD607B">
        <w:rPr>
          <w:rFonts w:ascii="Calibri" w:eastAsia="Cambria" w:hAnsi="Calibri"/>
          <w:color w:val="000000"/>
          <w:sz w:val="22"/>
          <w:szCs w:val="22"/>
        </w:rPr>
        <w:t>Hb</w:t>
      </w:r>
      <w:proofErr w:type="spellEnd"/>
      <w:r w:rsidR="00CD607B" w:rsidRPr="00CD607B">
        <w:rPr>
          <w:rFonts w:ascii="Calibri" w:eastAsia="Cambria" w:hAnsi="Calibri"/>
          <w:color w:val="000000"/>
          <w:sz w:val="22"/>
          <w:szCs w:val="22"/>
        </w:rPr>
        <w:t xml:space="preserve"> S). </w:t>
      </w:r>
      <w:proofErr w:type="spellStart"/>
      <w:r w:rsidR="00CD607B" w:rsidRPr="00CD607B">
        <w:rPr>
          <w:rFonts w:ascii="Calibri" w:eastAsia="Cambria" w:hAnsi="Calibri"/>
          <w:color w:val="000000"/>
          <w:sz w:val="22"/>
          <w:szCs w:val="22"/>
        </w:rPr>
        <w:t>Hb</w:t>
      </w:r>
      <w:proofErr w:type="spellEnd"/>
      <w:r w:rsidR="00CD607B" w:rsidRPr="00CD607B">
        <w:rPr>
          <w:rFonts w:ascii="Calibri" w:eastAsia="Cambria" w:hAnsi="Calibri"/>
          <w:color w:val="000000"/>
          <w:sz w:val="22"/>
          <w:szCs w:val="22"/>
        </w:rPr>
        <w:t xml:space="preserve"> S is characterized by a missense mutation in position 6 of the β chain, in which the amino acid glutamic acid is replaced by valine</w:t>
      </w:r>
      <w:r w:rsidR="00CD607B" w:rsidRPr="00CD607B">
        <w:rPr>
          <w:rFonts w:ascii="Calibri" w:eastAsia="Cambria" w:hAnsi="Calibri"/>
          <w:b/>
          <w:bCs/>
          <w:color w:val="000000"/>
          <w:sz w:val="22"/>
          <w:szCs w:val="22"/>
          <w:shd w:val="clear" w:color="auto" w:fill="FFFFFF"/>
          <w:vertAlign w:val="superscript"/>
        </w:rPr>
        <w:t>1</w:t>
      </w:r>
      <w:r w:rsidR="00B33EF7">
        <w:rPr>
          <w:rFonts w:ascii="Calibri" w:eastAsia="Cambria" w:hAnsi="Calibri"/>
          <w:color w:val="000000"/>
          <w:sz w:val="22"/>
          <w:szCs w:val="22"/>
        </w:rPr>
        <w:t>.</w:t>
      </w:r>
      <w:r w:rsidR="00CD607B" w:rsidRPr="00CD607B">
        <w:rPr>
          <w:rFonts w:ascii="Calibri" w:eastAsia="Cambria" w:hAnsi="Calibri"/>
          <w:color w:val="000000"/>
          <w:sz w:val="22"/>
          <w:szCs w:val="22"/>
        </w:rPr>
        <w:t xml:space="preserve"> </w:t>
      </w:r>
    </w:p>
    <w:p w:rsidR="00CD607B" w:rsidRPr="00CD607B" w:rsidRDefault="00B33EF7" w:rsidP="00B33EF7">
      <w:pPr>
        <w:bidi w:val="0"/>
        <w:contextualSpacing/>
        <w:jc w:val="both"/>
        <w:rPr>
          <w:rFonts w:ascii="Calibri" w:eastAsia="Cambria" w:hAnsi="Calibri"/>
          <w:b/>
          <w:bCs/>
          <w:sz w:val="22"/>
          <w:szCs w:val="22"/>
        </w:rPr>
      </w:pPr>
      <w:r>
        <w:rPr>
          <w:rFonts w:ascii="Calibri" w:eastAsia="Cambria" w:hAnsi="Calibri"/>
          <w:sz w:val="22"/>
          <w:szCs w:val="22"/>
        </w:rPr>
        <w:lastRenderedPageBreak/>
        <w:t>S</w:t>
      </w:r>
      <w:r w:rsidR="00CD607B" w:rsidRPr="00B33EF7">
        <w:rPr>
          <w:rFonts w:ascii="Calibri" w:eastAsia="Cambria" w:hAnsi="Calibri"/>
          <w:sz w:val="22"/>
          <w:szCs w:val="22"/>
        </w:rPr>
        <w:t>CD</w:t>
      </w:r>
      <w:r w:rsidR="00CD607B" w:rsidRPr="00CD607B">
        <w:rPr>
          <w:rFonts w:ascii="Calibri" w:eastAsia="Cambria" w:hAnsi="Calibri"/>
          <w:sz w:val="22"/>
          <w:szCs w:val="22"/>
        </w:rPr>
        <w:t xml:space="preserve"> is a hereditary disorder characterized by hemolytic anemia with different clinical manifestations; and is considered as a chronic inflammatory disease. Patients with SCD exhibit a chronic inflammatory state and reduced length and quality of life</w:t>
      </w:r>
      <w:r w:rsidR="00CD607B" w:rsidRPr="00CD607B">
        <w:rPr>
          <w:rFonts w:ascii="Calibri" w:eastAsia="Cambria" w:hAnsi="Calibri"/>
          <w:bCs/>
          <w:sz w:val="22"/>
          <w:szCs w:val="22"/>
          <w:vertAlign w:val="superscript"/>
        </w:rPr>
        <w:t>2</w:t>
      </w:r>
      <w:r w:rsidRPr="00B33EF7">
        <w:rPr>
          <w:rFonts w:ascii="Calibri" w:eastAsia="Cambria" w:hAnsi="Calibri"/>
          <w:bCs/>
          <w:sz w:val="22"/>
          <w:szCs w:val="22"/>
        </w:rPr>
        <w:t>.</w:t>
      </w:r>
      <w:r w:rsidR="00CD607B" w:rsidRPr="00CD607B">
        <w:rPr>
          <w:rFonts w:ascii="Calibri" w:eastAsia="Cambria" w:hAnsi="Calibri"/>
          <w:bCs/>
          <w:sz w:val="22"/>
          <w:szCs w:val="22"/>
        </w:rPr>
        <w:t xml:space="preserve"> </w:t>
      </w:r>
      <w:r w:rsidR="00CD607B" w:rsidRPr="00CD607B">
        <w:rPr>
          <w:rFonts w:ascii="Calibri" w:eastAsia="Cambria" w:hAnsi="Calibri"/>
          <w:sz w:val="22"/>
          <w:szCs w:val="22"/>
          <w:shd w:val="clear" w:color="auto" w:fill="FFFFFF"/>
        </w:rPr>
        <w:t xml:space="preserve">SCD is one of the most important single gene disorders of human beings. It is estimated that 75–85% of children born with SCD </w:t>
      </w:r>
      <w:r w:rsidR="00CD607B" w:rsidRPr="00CD607B">
        <w:rPr>
          <w:rFonts w:ascii="Calibri" w:eastAsia="Cambria" w:hAnsi="Calibri"/>
          <w:sz w:val="22"/>
          <w:szCs w:val="22"/>
          <w:shd w:val="clear" w:color="auto" w:fill="FFFFFF"/>
        </w:rPr>
        <w:lastRenderedPageBreak/>
        <w:t>are born in Africa</w:t>
      </w:r>
      <w:r w:rsidR="00CD607B" w:rsidRPr="00CD607B">
        <w:rPr>
          <w:rFonts w:ascii="Calibri" w:eastAsia="Cambria" w:hAnsi="Calibri"/>
          <w:sz w:val="22"/>
          <w:szCs w:val="22"/>
          <w:shd w:val="clear" w:color="auto" w:fill="FFFFFF"/>
          <w:vertAlign w:val="superscript"/>
        </w:rPr>
        <w:t>3</w:t>
      </w:r>
      <w:r>
        <w:rPr>
          <w:rFonts w:ascii="Calibri" w:eastAsia="Cambria" w:hAnsi="Calibri"/>
          <w:sz w:val="22"/>
          <w:szCs w:val="22"/>
          <w:shd w:val="clear" w:color="auto" w:fill="FFFFFF"/>
        </w:rPr>
        <w:t>.</w:t>
      </w:r>
      <w:r w:rsidR="00CD607B" w:rsidRPr="00CD607B">
        <w:rPr>
          <w:rFonts w:ascii="Calibri" w:eastAsia="Cambria" w:hAnsi="Calibri"/>
          <w:sz w:val="22"/>
          <w:szCs w:val="22"/>
          <w:shd w:val="clear" w:color="auto" w:fill="FFFFFF"/>
        </w:rPr>
        <w:t xml:space="preserve"> The highest prevalence of sickle-cell trait (SCT) in Africa occurs between the latitudes of 15° North and 20° </w:t>
      </w:r>
      <w:proofErr w:type="gramStart"/>
      <w:r w:rsidR="00CD607B" w:rsidRPr="00CD607B">
        <w:rPr>
          <w:rFonts w:ascii="Calibri" w:eastAsia="Cambria" w:hAnsi="Calibri"/>
          <w:sz w:val="22"/>
          <w:szCs w:val="22"/>
          <w:shd w:val="clear" w:color="auto" w:fill="FFFFFF"/>
        </w:rPr>
        <w:t>South</w:t>
      </w:r>
      <w:proofErr w:type="gramEnd"/>
      <w:r w:rsidR="00CD607B" w:rsidRPr="00CD607B">
        <w:rPr>
          <w:rFonts w:ascii="Calibri" w:eastAsia="Cambria" w:hAnsi="Calibri"/>
          <w:sz w:val="22"/>
          <w:szCs w:val="22"/>
          <w:shd w:val="clear" w:color="auto" w:fill="FFFFFF"/>
        </w:rPr>
        <w:t>, where the prevalence ranges from 10% to 40% of the population</w:t>
      </w:r>
      <w:r w:rsidR="00CD607B" w:rsidRPr="00CD607B">
        <w:rPr>
          <w:rFonts w:ascii="Calibri" w:eastAsia="Cambria" w:hAnsi="Calibri"/>
          <w:sz w:val="22"/>
          <w:szCs w:val="22"/>
          <w:shd w:val="clear" w:color="auto" w:fill="FFFFFF"/>
          <w:vertAlign w:val="superscript"/>
        </w:rPr>
        <w:t>4</w:t>
      </w:r>
      <w:r w:rsidRPr="00B33EF7">
        <w:rPr>
          <w:rFonts w:ascii="Calibri" w:eastAsia="Cambria" w:hAnsi="Calibri"/>
          <w:sz w:val="22"/>
          <w:szCs w:val="22"/>
          <w:shd w:val="clear" w:color="auto" w:fill="FFFFFF"/>
        </w:rPr>
        <w:t>.</w:t>
      </w:r>
      <w:r w:rsidR="00CD607B" w:rsidRPr="00CD607B">
        <w:rPr>
          <w:rFonts w:ascii="Calibri" w:eastAsia="Cambria" w:hAnsi="Calibri"/>
          <w:sz w:val="22"/>
          <w:szCs w:val="22"/>
          <w:shd w:val="clear" w:color="auto" w:fill="FFFFFF"/>
        </w:rPr>
        <w:t xml:space="preserve"> </w:t>
      </w:r>
      <w:r w:rsidR="00CD607B" w:rsidRPr="00CD607B">
        <w:rPr>
          <w:rFonts w:ascii="Calibri" w:eastAsia="Cambria" w:hAnsi="Calibri"/>
          <w:sz w:val="22"/>
          <w:szCs w:val="22"/>
        </w:rPr>
        <w:t xml:space="preserve">In Egypt, The prevalence of SCD is 0.3%. </w:t>
      </w:r>
      <w:proofErr w:type="spellStart"/>
      <w:r w:rsidR="00CD607B" w:rsidRPr="00CD607B">
        <w:rPr>
          <w:rFonts w:ascii="Calibri" w:eastAsia="Cambria" w:hAnsi="Calibri"/>
          <w:sz w:val="22"/>
          <w:szCs w:val="22"/>
        </w:rPr>
        <w:t>HbS</w:t>
      </w:r>
      <w:proofErr w:type="spellEnd"/>
      <w:r w:rsidR="00CD607B" w:rsidRPr="00CD607B">
        <w:rPr>
          <w:rFonts w:ascii="Calibri" w:eastAsia="Cambria" w:hAnsi="Calibri"/>
          <w:sz w:val="22"/>
          <w:szCs w:val="22"/>
        </w:rPr>
        <w:t xml:space="preserve"> carrier rates vary from 9 to 22 % in some regions</w:t>
      </w:r>
      <w:r w:rsidR="00CD607B" w:rsidRPr="00CD607B">
        <w:rPr>
          <w:rFonts w:ascii="Calibri" w:eastAsia="Cambria" w:hAnsi="Calibri"/>
          <w:sz w:val="22"/>
          <w:szCs w:val="22"/>
          <w:vertAlign w:val="superscript"/>
        </w:rPr>
        <w:t>5</w:t>
      </w:r>
      <w:r w:rsidRPr="00B33EF7">
        <w:rPr>
          <w:rFonts w:ascii="Calibri" w:eastAsia="Cambria" w:hAnsi="Calibri"/>
          <w:sz w:val="22"/>
          <w:szCs w:val="22"/>
        </w:rPr>
        <w:t>.</w:t>
      </w:r>
      <w:r w:rsidR="00CD607B" w:rsidRPr="00B33EF7">
        <w:rPr>
          <w:rFonts w:ascii="Calibri" w:eastAsia="Cambria" w:hAnsi="Calibri"/>
          <w:sz w:val="22"/>
          <w:szCs w:val="22"/>
        </w:rPr>
        <w:t xml:space="preserve"> </w:t>
      </w:r>
      <w:r w:rsidR="00CD607B" w:rsidRPr="00CD607B">
        <w:rPr>
          <w:rFonts w:ascii="Calibri" w:eastAsia="Cambria" w:hAnsi="Calibri"/>
          <w:bCs/>
          <w:sz w:val="22"/>
          <w:szCs w:val="22"/>
          <w:shd w:val="clear" w:color="auto" w:fill="FFFFFF"/>
        </w:rPr>
        <w:t xml:space="preserve">In </w:t>
      </w:r>
      <w:r w:rsidR="00CD607B" w:rsidRPr="00CD607B">
        <w:rPr>
          <w:rFonts w:ascii="Calibri" w:eastAsia="Cambria" w:hAnsi="Calibri"/>
          <w:sz w:val="22"/>
          <w:szCs w:val="22"/>
        </w:rPr>
        <w:t>1951</w:t>
      </w:r>
      <w:r w:rsidR="00CD607B" w:rsidRPr="00CD607B">
        <w:rPr>
          <w:rFonts w:ascii="Calibri" w:eastAsia="Cambria" w:hAnsi="Calibri"/>
          <w:bCs/>
          <w:sz w:val="22"/>
          <w:szCs w:val="22"/>
          <w:shd w:val="clear" w:color="auto" w:fill="FFFFFF"/>
        </w:rPr>
        <w:t xml:space="preserve">, </w:t>
      </w:r>
      <w:proofErr w:type="spellStart"/>
      <w:r w:rsidR="00CD607B" w:rsidRPr="00CD607B">
        <w:rPr>
          <w:rFonts w:ascii="Calibri" w:eastAsia="Cambria" w:hAnsi="Calibri"/>
          <w:bCs/>
          <w:sz w:val="22"/>
          <w:szCs w:val="22"/>
          <w:shd w:val="clear" w:color="auto" w:fill="FFFFFF"/>
        </w:rPr>
        <w:t>Abbasy</w:t>
      </w:r>
      <w:proofErr w:type="spellEnd"/>
      <w:r w:rsidR="00CD607B" w:rsidRPr="00CD607B">
        <w:rPr>
          <w:rFonts w:ascii="Calibri" w:eastAsia="Cambria" w:hAnsi="Calibri"/>
          <w:bCs/>
          <w:sz w:val="22"/>
          <w:szCs w:val="22"/>
          <w:shd w:val="clear" w:color="auto" w:fill="FFFFFF"/>
        </w:rPr>
        <w:t xml:space="preserve"> reported the first case of SCD</w:t>
      </w:r>
      <w:r w:rsidR="00CD607B" w:rsidRPr="00CD607B">
        <w:rPr>
          <w:rFonts w:ascii="Calibri" w:eastAsia="Cambria" w:hAnsi="Calibri"/>
          <w:sz w:val="22"/>
          <w:szCs w:val="22"/>
        </w:rPr>
        <w:t xml:space="preserve"> in </w:t>
      </w:r>
      <w:r w:rsidR="00CD607B" w:rsidRPr="00CD607B">
        <w:rPr>
          <w:rFonts w:ascii="Calibri" w:eastAsia="Cambria" w:hAnsi="Calibri"/>
          <w:bCs/>
          <w:sz w:val="22"/>
          <w:szCs w:val="22"/>
          <w:shd w:val="clear" w:color="auto" w:fill="FFFFFF"/>
        </w:rPr>
        <w:t>Egypt</w:t>
      </w:r>
      <w:r w:rsidR="00CD607B" w:rsidRPr="00CD607B">
        <w:rPr>
          <w:rFonts w:ascii="Calibri" w:eastAsia="Cambria" w:hAnsi="Calibri"/>
          <w:bCs/>
          <w:sz w:val="22"/>
          <w:szCs w:val="22"/>
          <w:shd w:val="clear" w:color="auto" w:fill="FFFFFF"/>
          <w:vertAlign w:val="superscript"/>
        </w:rPr>
        <w:t>6</w:t>
      </w:r>
      <w:r w:rsidRPr="00B33EF7">
        <w:rPr>
          <w:rFonts w:ascii="Calibri" w:eastAsia="Cambria" w:hAnsi="Calibri"/>
          <w:bCs/>
          <w:sz w:val="22"/>
          <w:szCs w:val="22"/>
          <w:shd w:val="clear" w:color="auto" w:fill="FFFFFF"/>
        </w:rPr>
        <w:t>.</w:t>
      </w:r>
      <w:r w:rsidR="00CD607B" w:rsidRPr="00CD607B">
        <w:rPr>
          <w:rFonts w:ascii="Calibri" w:eastAsia="Cambria" w:hAnsi="Calibri"/>
          <w:sz w:val="22"/>
          <w:szCs w:val="22"/>
        </w:rPr>
        <w:t xml:space="preserve"> SCD is characterized by hemolysis, higher risk of infections and recurrent </w:t>
      </w:r>
      <w:proofErr w:type="spellStart"/>
      <w:r w:rsidR="00CD607B" w:rsidRPr="00CD607B">
        <w:rPr>
          <w:rFonts w:ascii="Calibri" w:eastAsia="Cambria" w:hAnsi="Calibri"/>
          <w:sz w:val="22"/>
          <w:szCs w:val="22"/>
        </w:rPr>
        <w:t>vaso</w:t>
      </w:r>
      <w:proofErr w:type="spellEnd"/>
      <w:r w:rsidR="00CD607B" w:rsidRPr="00CD607B">
        <w:rPr>
          <w:rFonts w:ascii="Calibri" w:eastAsia="Cambria" w:hAnsi="Calibri"/>
          <w:sz w:val="22"/>
          <w:szCs w:val="22"/>
        </w:rPr>
        <w:t>-occlusive crisis (VOC) with pain, which result in chronic organ damage. Several studies have identified factors associated with this heterogeneity in order to predict the clinical outcome and/or prognosis of the patients</w:t>
      </w:r>
      <w:r w:rsidR="00CD607B" w:rsidRPr="00CD607B">
        <w:rPr>
          <w:rFonts w:ascii="Calibri" w:eastAsia="Cambria" w:hAnsi="Calibri"/>
          <w:sz w:val="22"/>
          <w:szCs w:val="22"/>
          <w:vertAlign w:val="superscript"/>
        </w:rPr>
        <w:t>7</w:t>
      </w:r>
      <w:r>
        <w:rPr>
          <w:rFonts w:ascii="Calibri" w:eastAsia="Cambria" w:hAnsi="Calibri"/>
          <w:sz w:val="22"/>
          <w:szCs w:val="22"/>
        </w:rPr>
        <w:t>.</w:t>
      </w:r>
      <w:r w:rsidR="00CD607B" w:rsidRPr="00CD607B">
        <w:rPr>
          <w:rFonts w:ascii="Calibri" w:eastAsia="Cambria" w:hAnsi="Calibri"/>
          <w:sz w:val="22"/>
          <w:szCs w:val="22"/>
        </w:rPr>
        <w:t xml:space="preserve"> </w:t>
      </w:r>
    </w:p>
    <w:p w:rsidR="00CD607B" w:rsidRPr="00CD607B" w:rsidRDefault="00CD607B" w:rsidP="00B33EF7">
      <w:pPr>
        <w:bidi w:val="0"/>
        <w:spacing w:after="160"/>
        <w:contextualSpacing/>
        <w:jc w:val="both"/>
        <w:rPr>
          <w:rFonts w:ascii="Calibri" w:eastAsia="Cambria" w:hAnsi="Calibri"/>
          <w:sz w:val="22"/>
          <w:szCs w:val="22"/>
        </w:rPr>
      </w:pPr>
      <w:r w:rsidRPr="00B33EF7">
        <w:rPr>
          <w:rFonts w:ascii="Calibri" w:eastAsia="Cambria" w:hAnsi="Calibri"/>
          <w:sz w:val="22"/>
          <w:szCs w:val="22"/>
        </w:rPr>
        <w:t>The hallmark</w:t>
      </w:r>
      <w:r w:rsidRPr="00CD607B">
        <w:rPr>
          <w:rFonts w:ascii="Calibri" w:eastAsia="Cambria" w:hAnsi="Calibri"/>
          <w:sz w:val="22"/>
          <w:szCs w:val="22"/>
        </w:rPr>
        <w:t xml:space="preserve"> abnormality of SCD is the polymerization of deoxygenated hemoglobin S and aggregation into fibers. This causes drastic change in hemoglobin solubility that leads to heterogeneities in cell shape and density. Despite being a monogenic disease, patients with SCD have a substantial phenotypic variability</w:t>
      </w:r>
      <w:r w:rsidRPr="00CD607B">
        <w:rPr>
          <w:rFonts w:ascii="Calibri" w:eastAsia="Cambria" w:hAnsi="Calibri"/>
          <w:sz w:val="22"/>
          <w:szCs w:val="22"/>
          <w:vertAlign w:val="superscript"/>
        </w:rPr>
        <w:t>8</w:t>
      </w:r>
      <w:r w:rsidR="00B33EF7" w:rsidRPr="00B33EF7">
        <w:rPr>
          <w:rFonts w:ascii="Calibri" w:eastAsia="Cambria" w:hAnsi="Calibri"/>
          <w:sz w:val="22"/>
          <w:szCs w:val="22"/>
        </w:rPr>
        <w:t>.</w:t>
      </w:r>
      <w:r w:rsidRPr="00CD607B">
        <w:rPr>
          <w:rFonts w:ascii="Calibri" w:eastAsia="Cambria" w:hAnsi="Calibri"/>
          <w:sz w:val="22"/>
          <w:szCs w:val="22"/>
        </w:rPr>
        <w:t xml:space="preserve"> </w:t>
      </w:r>
    </w:p>
    <w:p w:rsidR="00CD607B" w:rsidRPr="00CD607B" w:rsidRDefault="00CD607B" w:rsidP="00B33EF7">
      <w:pPr>
        <w:bidi w:val="0"/>
        <w:jc w:val="both"/>
        <w:rPr>
          <w:rFonts w:ascii="Calibri" w:hAnsi="Calibri" w:cs="Calibri"/>
          <w:sz w:val="22"/>
          <w:szCs w:val="22"/>
        </w:rPr>
      </w:pPr>
      <w:r w:rsidRPr="00CD607B">
        <w:rPr>
          <w:rFonts w:ascii="Calibri" w:hAnsi="Calibri" w:cs="Calibri"/>
          <w:sz w:val="22"/>
          <w:szCs w:val="22"/>
        </w:rPr>
        <w:t>Interleukin-1 β (IL-1 β) is a potent pro-inflammatory cytokine that is crucial for host defense responses to infection and injury</w:t>
      </w:r>
      <w:r w:rsidRPr="00CD607B">
        <w:rPr>
          <w:rFonts w:ascii="Calibri" w:hAnsi="Calibri" w:cs="Calibri"/>
          <w:sz w:val="22"/>
          <w:szCs w:val="22"/>
          <w:vertAlign w:val="superscript"/>
        </w:rPr>
        <w:t>9</w:t>
      </w:r>
      <w:r w:rsidR="00B33EF7">
        <w:rPr>
          <w:rFonts w:ascii="Calibri" w:hAnsi="Calibri" w:cs="Calibri"/>
          <w:sz w:val="22"/>
          <w:szCs w:val="22"/>
        </w:rPr>
        <w:t>.</w:t>
      </w:r>
      <w:r w:rsidRPr="00CD607B">
        <w:rPr>
          <w:rFonts w:ascii="Calibri" w:hAnsi="Calibri" w:cs="Calibri"/>
          <w:sz w:val="22"/>
          <w:szCs w:val="22"/>
        </w:rPr>
        <w:t xml:space="preserve"> IL-1β is located in 70–110 kb region of chromosome 2q13–21, including 7 exons and 6 introns. The three most important single nucleotide polymorphisms (SNP) out of at least 20 SNPs that have been reported in the region of IL-1β are −511 (rs16944), + 3954 (rs1143634) and – 31 loci. They exhibit strong influence on gene transcription and the eventual functional alterations</w:t>
      </w:r>
      <w:r w:rsidRPr="00CD607B">
        <w:rPr>
          <w:rFonts w:ascii="Calibri" w:hAnsi="Calibri" w:cs="Calibri"/>
          <w:sz w:val="22"/>
          <w:szCs w:val="22"/>
          <w:vertAlign w:val="superscript"/>
        </w:rPr>
        <w:t>10</w:t>
      </w:r>
      <w:r w:rsidR="00B33EF7">
        <w:rPr>
          <w:rFonts w:ascii="Calibri" w:hAnsi="Calibri" w:cs="Calibri"/>
          <w:sz w:val="22"/>
          <w:szCs w:val="22"/>
        </w:rPr>
        <w:t>.</w:t>
      </w:r>
      <w:r w:rsidRPr="00CD607B">
        <w:rPr>
          <w:rFonts w:ascii="Calibri" w:hAnsi="Calibri" w:cs="Calibri"/>
          <w:sz w:val="22"/>
          <w:szCs w:val="22"/>
        </w:rPr>
        <w:t xml:space="preserve"> There are several reports on the involvement of cytokines in the pathophysiology of SCD; many of them showing significantly elevated levels of plasma IL-1β in these patients</w:t>
      </w:r>
      <w:r w:rsidRPr="00CD607B">
        <w:rPr>
          <w:rFonts w:ascii="Calibri" w:hAnsi="Calibri" w:cs="Calibri"/>
          <w:sz w:val="22"/>
          <w:szCs w:val="22"/>
          <w:vertAlign w:val="superscript"/>
        </w:rPr>
        <w:t>11-14</w:t>
      </w:r>
      <w:r w:rsidR="00B33EF7">
        <w:rPr>
          <w:rFonts w:ascii="Calibri" w:hAnsi="Calibri" w:cs="Calibri"/>
          <w:sz w:val="22"/>
          <w:szCs w:val="22"/>
        </w:rPr>
        <w:t>.</w:t>
      </w:r>
      <w:r w:rsidRPr="00CD607B">
        <w:rPr>
          <w:rFonts w:ascii="Calibri" w:hAnsi="Calibri" w:cs="Calibri"/>
          <w:sz w:val="22"/>
          <w:szCs w:val="22"/>
        </w:rPr>
        <w:t xml:space="preserve"> It is believed that release of cytokines in response to infection, endothelial cell activation and other injurious agents may play key role in the pathophysiology of VOC in SCD</w:t>
      </w:r>
      <w:r w:rsidRPr="00CD607B">
        <w:rPr>
          <w:rFonts w:ascii="Calibri" w:hAnsi="Calibri" w:cs="Calibri"/>
          <w:sz w:val="22"/>
          <w:szCs w:val="22"/>
          <w:vertAlign w:val="superscript"/>
        </w:rPr>
        <w:t>7</w:t>
      </w:r>
      <w:r w:rsidR="00B33EF7" w:rsidRPr="00B33EF7">
        <w:rPr>
          <w:rFonts w:ascii="Calibri" w:hAnsi="Calibri" w:cs="Calibri"/>
          <w:sz w:val="22"/>
          <w:szCs w:val="22"/>
        </w:rPr>
        <w:t>.</w:t>
      </w:r>
    </w:p>
    <w:p w:rsidR="00CD607B" w:rsidRPr="00004F3B" w:rsidRDefault="00CD607B" w:rsidP="00004F3B">
      <w:pPr>
        <w:bidi w:val="0"/>
        <w:jc w:val="both"/>
        <w:rPr>
          <w:rFonts w:ascii="Calibri" w:hAnsi="Calibri" w:cs="Calibri"/>
          <w:sz w:val="22"/>
          <w:szCs w:val="22"/>
          <w:vertAlign w:val="superscript"/>
        </w:rPr>
      </w:pPr>
      <w:r w:rsidRPr="00CD607B">
        <w:rPr>
          <w:rFonts w:ascii="Calibri" w:hAnsi="Calibri" w:cs="Calibri"/>
          <w:sz w:val="22"/>
          <w:szCs w:val="22"/>
        </w:rPr>
        <w:t xml:space="preserve">−511 and +3954 cytokine genes of IL-1β have been postulated to be involved in </w:t>
      </w:r>
      <w:proofErr w:type="spellStart"/>
      <w:r w:rsidRPr="00CD607B">
        <w:rPr>
          <w:rFonts w:ascii="Calibri" w:hAnsi="Calibri" w:cs="Calibri"/>
          <w:sz w:val="22"/>
          <w:szCs w:val="22"/>
        </w:rPr>
        <w:t>vaso</w:t>
      </w:r>
      <w:proofErr w:type="spellEnd"/>
      <w:r w:rsidRPr="00CD607B">
        <w:rPr>
          <w:rFonts w:ascii="Calibri" w:hAnsi="Calibri" w:cs="Calibri"/>
          <w:sz w:val="22"/>
          <w:szCs w:val="22"/>
        </w:rPr>
        <w:t>-occlusion phenomenon of SCD through the processes of inflammation, cellular adhesion, signaling, transport or coagulation</w:t>
      </w:r>
      <w:r w:rsidRPr="00CD607B">
        <w:rPr>
          <w:rFonts w:ascii="Calibri" w:hAnsi="Calibri" w:cs="Calibri"/>
          <w:sz w:val="22"/>
          <w:szCs w:val="22"/>
          <w:vertAlign w:val="superscript"/>
        </w:rPr>
        <w:t>15</w:t>
      </w:r>
      <w:r w:rsidR="00B33EF7" w:rsidRPr="00B33EF7">
        <w:rPr>
          <w:rFonts w:ascii="Calibri" w:hAnsi="Calibri" w:cs="Calibri"/>
          <w:sz w:val="22"/>
          <w:szCs w:val="22"/>
        </w:rPr>
        <w:t>.</w:t>
      </w:r>
      <w:r w:rsidR="00004F3B">
        <w:rPr>
          <w:rFonts w:ascii="Calibri" w:hAnsi="Calibri" w:cs="Calibri"/>
          <w:sz w:val="22"/>
          <w:szCs w:val="22"/>
          <w:vertAlign w:val="superscript"/>
        </w:rPr>
        <w:t xml:space="preserve"> </w:t>
      </w:r>
      <w:r w:rsidRPr="00CD607B">
        <w:rPr>
          <w:rFonts w:ascii="Calibri" w:hAnsi="Calibri" w:cs="Calibri"/>
          <w:sz w:val="22"/>
          <w:szCs w:val="22"/>
        </w:rPr>
        <w:t>Since studies on the association of cytokines’ polymorphisms with SCD phenotypes are scanty, the present study aimed to estimate the</w:t>
      </w:r>
      <w:r w:rsidRPr="00CD607B">
        <w:rPr>
          <w:rFonts w:ascii="Calibri" w:hAnsi="Calibri" w:cs="Calibri"/>
          <w:b/>
          <w:bCs/>
          <w:sz w:val="22"/>
          <w:szCs w:val="22"/>
        </w:rPr>
        <w:t xml:space="preserve"> </w:t>
      </w:r>
      <w:r w:rsidRPr="00CD607B">
        <w:rPr>
          <w:rFonts w:ascii="Calibri" w:hAnsi="Calibri" w:cs="Calibri"/>
          <w:sz w:val="22"/>
          <w:szCs w:val="22"/>
        </w:rPr>
        <w:t>association</w:t>
      </w:r>
      <w:r w:rsidRPr="00CD607B">
        <w:rPr>
          <w:rFonts w:ascii="Calibri" w:hAnsi="Calibri" w:cs="Calibri"/>
          <w:b/>
          <w:bCs/>
          <w:sz w:val="22"/>
          <w:szCs w:val="22"/>
        </w:rPr>
        <w:t xml:space="preserve"> </w:t>
      </w:r>
      <w:r w:rsidRPr="00CD607B">
        <w:rPr>
          <w:rFonts w:ascii="Calibri" w:hAnsi="Calibri" w:cs="Calibri"/>
          <w:sz w:val="22"/>
          <w:szCs w:val="22"/>
        </w:rPr>
        <w:t xml:space="preserve">of IL-1B+3954 polymorphism with the incidence, clinical and laboratory profiles of Egyptian patients with SCD; and to determine </w:t>
      </w:r>
      <w:r w:rsidRPr="00CD607B">
        <w:rPr>
          <w:rFonts w:ascii="Calibri" w:hAnsi="Calibri" w:cs="Calibri"/>
          <w:sz w:val="22"/>
          <w:szCs w:val="22"/>
        </w:rPr>
        <w:lastRenderedPageBreak/>
        <w:t>whether IL-1B+3954 polymorphism contributes to the clinical evolution of SCD; and to estimate the value of IL-1B+3954 polymorphism as a genetic predictor of SCD clinical heterogeneity.</w:t>
      </w:r>
    </w:p>
    <w:p w:rsidR="00CD607B" w:rsidRDefault="00CD607B" w:rsidP="00CD607B">
      <w:pPr>
        <w:bidi w:val="0"/>
        <w:spacing w:line="216" w:lineRule="auto"/>
        <w:jc w:val="both"/>
        <w:rPr>
          <w:rFonts w:ascii="Calibri" w:hAnsi="Calibri" w:cs="Calibri"/>
          <w:b/>
          <w:bCs/>
          <w:sz w:val="22"/>
          <w:szCs w:val="22"/>
        </w:rPr>
      </w:pPr>
    </w:p>
    <w:p w:rsidR="00F905CC" w:rsidRPr="002936C1" w:rsidRDefault="00F905CC" w:rsidP="00CD607B">
      <w:pPr>
        <w:bidi w:val="0"/>
        <w:spacing w:line="216" w:lineRule="auto"/>
        <w:jc w:val="both"/>
        <w:rPr>
          <w:rFonts w:ascii="Calibri" w:hAnsi="Calibri" w:cs="Calibri"/>
          <w:sz w:val="22"/>
          <w:szCs w:val="22"/>
          <w:lang w:bidi="fa-IR"/>
        </w:rPr>
      </w:pPr>
      <w:r w:rsidRPr="002936C1">
        <w:rPr>
          <w:rFonts w:ascii="Calibri" w:hAnsi="Calibri" w:cs="Calibri"/>
          <w:b/>
          <w:bCs/>
          <w:sz w:val="22"/>
          <w:szCs w:val="22"/>
        </w:rPr>
        <w:t>MATERIALS AND METHODS</w:t>
      </w:r>
      <w:r w:rsidRPr="002936C1">
        <w:rPr>
          <w:rFonts w:ascii="Calibri" w:hAnsi="Calibri" w:cs="Calibri"/>
          <w:sz w:val="22"/>
          <w:szCs w:val="22"/>
          <w:rtl/>
          <w:lang w:bidi="fa-IR"/>
        </w:rPr>
        <w:t xml:space="preserve"> </w:t>
      </w:r>
    </w:p>
    <w:p w:rsidR="00CD607B" w:rsidRPr="00CD607B" w:rsidRDefault="00B33EF7" w:rsidP="00CD607B">
      <w:pPr>
        <w:bidi w:val="0"/>
        <w:jc w:val="both"/>
        <w:rPr>
          <w:rFonts w:ascii="Calibri" w:eastAsia="Calibri" w:hAnsi="Calibri"/>
          <w:sz w:val="22"/>
          <w:szCs w:val="22"/>
        </w:rPr>
      </w:pPr>
      <w:r>
        <w:rPr>
          <w:rFonts w:ascii="Calibri" w:eastAsia="Calibri" w:hAnsi="Calibri"/>
          <w:sz w:val="22"/>
          <w:szCs w:val="22"/>
        </w:rPr>
        <w:t xml:space="preserve">   </w:t>
      </w:r>
      <w:r w:rsidR="00CD607B" w:rsidRPr="00CD607B">
        <w:rPr>
          <w:rFonts w:ascii="Calibri" w:eastAsia="Calibri" w:hAnsi="Calibri"/>
          <w:sz w:val="22"/>
          <w:szCs w:val="22"/>
        </w:rPr>
        <w:t>This cross-sectional study included 50 Egyptian SCD patients (mainly children &amp; adolescents) and 50 age and sex matched healthy control subjects from the same ethnic background. The SCD patients were following in the hematology outpatient clinic at Cairo University Children Hospital (CUCH) during the study period for routine outpatient management. Diagnosis of sickle cell disease was based on hemoglobin electrophoresis and high performance liquid chromatography (HPLC Bio Rad, USA); used to measure several hemoglobin species (</w:t>
      </w:r>
      <w:proofErr w:type="spellStart"/>
      <w:r w:rsidR="00CD607B" w:rsidRPr="00CD607B">
        <w:rPr>
          <w:rFonts w:ascii="Calibri" w:eastAsia="Calibri" w:hAnsi="Calibri"/>
          <w:sz w:val="22"/>
          <w:szCs w:val="22"/>
        </w:rPr>
        <w:t>Hb</w:t>
      </w:r>
      <w:proofErr w:type="spellEnd"/>
      <w:r w:rsidR="00CD607B" w:rsidRPr="00CD607B">
        <w:rPr>
          <w:rFonts w:ascii="Calibri" w:eastAsia="Calibri" w:hAnsi="Calibri"/>
          <w:sz w:val="22"/>
          <w:szCs w:val="22"/>
        </w:rPr>
        <w:t xml:space="preserve"> F, HbA1, </w:t>
      </w:r>
      <w:proofErr w:type="spellStart"/>
      <w:r w:rsidR="00CD607B" w:rsidRPr="00CD607B">
        <w:rPr>
          <w:rFonts w:ascii="Calibri" w:eastAsia="Calibri" w:hAnsi="Calibri"/>
          <w:sz w:val="22"/>
          <w:szCs w:val="22"/>
        </w:rPr>
        <w:t>Hb</w:t>
      </w:r>
      <w:proofErr w:type="spellEnd"/>
      <w:r w:rsidR="00CD607B" w:rsidRPr="00CD607B">
        <w:rPr>
          <w:rFonts w:ascii="Calibri" w:eastAsia="Calibri" w:hAnsi="Calibri"/>
          <w:sz w:val="22"/>
          <w:szCs w:val="22"/>
        </w:rPr>
        <w:t xml:space="preserve"> A2 and </w:t>
      </w:r>
      <w:proofErr w:type="spellStart"/>
      <w:r w:rsidR="00CD607B" w:rsidRPr="00CD607B">
        <w:rPr>
          <w:rFonts w:ascii="Calibri" w:eastAsia="Calibri" w:hAnsi="Calibri"/>
          <w:sz w:val="22"/>
          <w:szCs w:val="22"/>
        </w:rPr>
        <w:t>Hb</w:t>
      </w:r>
      <w:proofErr w:type="spellEnd"/>
      <w:r w:rsidR="00CD607B" w:rsidRPr="00CD607B">
        <w:rPr>
          <w:rFonts w:ascii="Calibri" w:eastAsia="Calibri" w:hAnsi="Calibri"/>
          <w:sz w:val="22"/>
          <w:szCs w:val="22"/>
        </w:rPr>
        <w:t xml:space="preserve"> S).</w:t>
      </w:r>
    </w:p>
    <w:p w:rsidR="00CD607B" w:rsidRPr="00CD607B" w:rsidRDefault="00CD607B" w:rsidP="00B33EF7">
      <w:pPr>
        <w:bidi w:val="0"/>
        <w:jc w:val="both"/>
        <w:rPr>
          <w:rFonts w:ascii="Calibri" w:eastAsia="Calibri" w:hAnsi="Calibri"/>
          <w:sz w:val="22"/>
          <w:szCs w:val="22"/>
        </w:rPr>
      </w:pPr>
      <w:r w:rsidRPr="00CD607B">
        <w:rPr>
          <w:rFonts w:ascii="Calibri" w:eastAsia="Calibri" w:hAnsi="Calibri"/>
          <w:sz w:val="22"/>
          <w:szCs w:val="22"/>
        </w:rPr>
        <w:t xml:space="preserve">All patients recruited for the study were in steady state i.e. they had no acute event for at least four consecutive weeks after the last crisis. Those who had been transfused in the three months prior to the study period, and those who had other chronic or inflammatory conditions were excluded. Approval for sampling and participation in the study were taken from all guardians. The study protocol was </w:t>
      </w:r>
      <w:r w:rsidR="00B33EF7">
        <w:rPr>
          <w:rFonts w:ascii="Calibri" w:eastAsia="Calibri" w:hAnsi="Calibri"/>
          <w:sz w:val="22"/>
          <w:szCs w:val="22"/>
        </w:rPr>
        <w:t>approved according</w:t>
      </w:r>
      <w:r w:rsidRPr="00CD607B">
        <w:rPr>
          <w:rFonts w:ascii="Calibri" w:eastAsia="Calibri" w:hAnsi="Calibri"/>
          <w:sz w:val="22"/>
          <w:szCs w:val="22"/>
        </w:rPr>
        <w:t xml:space="preserve"> </w:t>
      </w:r>
      <w:r w:rsidR="00B33EF7">
        <w:rPr>
          <w:rFonts w:ascii="Calibri" w:eastAsia="Calibri" w:hAnsi="Calibri"/>
          <w:sz w:val="22"/>
          <w:szCs w:val="22"/>
        </w:rPr>
        <w:t xml:space="preserve">to </w:t>
      </w:r>
      <w:r w:rsidRPr="00CD607B">
        <w:rPr>
          <w:rFonts w:ascii="Calibri" w:eastAsia="Calibri" w:hAnsi="Calibri"/>
          <w:sz w:val="22"/>
          <w:szCs w:val="22"/>
        </w:rPr>
        <w:t>the local hospital research guidelines. All procedures were in accordance with the ethical standards of the responsible committee on human experimentation (institutional and national) and with the Helsinki Declaration of 1975, as revised in 2008. The local Medical Ethics Committee of each of the Clinical Pathology Department and the Pediatrics Department, Cairo University approved the study.</w:t>
      </w:r>
    </w:p>
    <w:p w:rsidR="00CD607B" w:rsidRPr="00CD607B" w:rsidRDefault="00CD607B" w:rsidP="00B33EF7">
      <w:pPr>
        <w:bidi w:val="0"/>
        <w:jc w:val="both"/>
        <w:rPr>
          <w:rFonts w:ascii="Calibri" w:eastAsia="Calibri" w:hAnsi="Calibri"/>
          <w:sz w:val="22"/>
          <w:szCs w:val="22"/>
        </w:rPr>
      </w:pPr>
      <w:r w:rsidRPr="00CD607B">
        <w:rPr>
          <w:rFonts w:ascii="Calibri" w:eastAsia="Calibri" w:hAnsi="Calibri"/>
          <w:sz w:val="22"/>
          <w:szCs w:val="22"/>
        </w:rPr>
        <w:t>Clinical as well as demographic data were obtained from medical records and interviews with the patients. Proper history taking with special attention to age at diagnosis and frequency of blood transfusion was taken. VOC was defined as pain in the extremities, back or abdomen without any other explanation</w:t>
      </w:r>
      <w:r w:rsidRPr="00CD607B">
        <w:rPr>
          <w:rFonts w:ascii="Calibri" w:eastAsia="Calibri" w:hAnsi="Calibri"/>
          <w:sz w:val="22"/>
          <w:szCs w:val="22"/>
          <w:vertAlign w:val="superscript"/>
        </w:rPr>
        <w:t>16</w:t>
      </w:r>
      <w:r w:rsidR="00B33EF7">
        <w:rPr>
          <w:rFonts w:ascii="Calibri" w:eastAsia="Calibri" w:hAnsi="Calibri"/>
          <w:sz w:val="22"/>
          <w:szCs w:val="22"/>
        </w:rPr>
        <w:t>.</w:t>
      </w:r>
      <w:r w:rsidRPr="00CD607B">
        <w:rPr>
          <w:rFonts w:ascii="Calibri" w:eastAsia="Calibri" w:hAnsi="Calibri"/>
          <w:sz w:val="22"/>
          <w:szCs w:val="22"/>
        </w:rPr>
        <w:t xml:space="preserve"> Occurrence of VOC necessitating hospitalization in the preceding year was considered positive for VOC. Occurrence of osteonecrosis or </w:t>
      </w:r>
      <w:proofErr w:type="spellStart"/>
      <w:r w:rsidRPr="00CD607B">
        <w:rPr>
          <w:rFonts w:ascii="Calibri" w:eastAsia="Calibri" w:hAnsi="Calibri"/>
          <w:sz w:val="22"/>
          <w:szCs w:val="22"/>
        </w:rPr>
        <w:t>cholelithiasis</w:t>
      </w:r>
      <w:proofErr w:type="spellEnd"/>
      <w:r w:rsidRPr="00CD607B">
        <w:rPr>
          <w:rFonts w:ascii="Calibri" w:eastAsia="Calibri" w:hAnsi="Calibri"/>
          <w:sz w:val="22"/>
          <w:szCs w:val="22"/>
        </w:rPr>
        <w:t xml:space="preserve"> at any time of the patient’s life was considered positive. CBC results; as well as results of latest (AST, ALT, Creatinine, </w:t>
      </w:r>
      <w:r w:rsidRPr="00CD607B">
        <w:rPr>
          <w:rFonts w:ascii="Calibri" w:eastAsia="Calibri" w:hAnsi="Calibri"/>
          <w:sz w:val="22"/>
          <w:szCs w:val="22"/>
        </w:rPr>
        <w:lastRenderedPageBreak/>
        <w:t>Ferritin and Hemoglobin electrophoresis), were documented.</w:t>
      </w:r>
    </w:p>
    <w:p w:rsidR="00CD607B" w:rsidRPr="00CD607B" w:rsidRDefault="00CD607B" w:rsidP="00CD607B">
      <w:pPr>
        <w:bidi w:val="0"/>
        <w:jc w:val="both"/>
        <w:rPr>
          <w:rFonts w:ascii="Calibri" w:eastAsia="Calibri" w:hAnsi="Calibri"/>
          <w:sz w:val="22"/>
          <w:szCs w:val="22"/>
        </w:rPr>
      </w:pPr>
      <w:r w:rsidRPr="00CD607B">
        <w:rPr>
          <w:rFonts w:ascii="Calibri" w:eastAsia="Calibri" w:hAnsi="Calibri"/>
          <w:bCs/>
          <w:sz w:val="22"/>
          <w:szCs w:val="22"/>
        </w:rPr>
        <w:t>Two ml of whole blood (on EDTA containers)</w:t>
      </w:r>
      <w:r w:rsidRPr="00CD607B">
        <w:rPr>
          <w:rFonts w:ascii="Calibri" w:eastAsia="Calibri" w:hAnsi="Calibri"/>
          <w:sz w:val="22"/>
          <w:szCs w:val="22"/>
        </w:rPr>
        <w:t xml:space="preserve"> were collected from patients and controls for detection of the IL-1B +3954 polymorphism using polymerase chain reaction and restriction fragment length polymorphism (PCR/RFLP) technique. Genomic DNA was extracted from peripheral blood lymphocytes by ready-made Isolation kit </w:t>
      </w:r>
      <w:proofErr w:type="spellStart"/>
      <w:r w:rsidRPr="00CD607B">
        <w:rPr>
          <w:rFonts w:ascii="Calibri" w:eastAsia="Calibri" w:hAnsi="Calibri"/>
          <w:sz w:val="22"/>
          <w:szCs w:val="22"/>
        </w:rPr>
        <w:t>AxyPrep</w:t>
      </w:r>
      <w:proofErr w:type="spellEnd"/>
      <w:r w:rsidRPr="00CD607B">
        <w:rPr>
          <w:rFonts w:ascii="Calibri" w:eastAsia="Calibri" w:hAnsi="Calibri"/>
          <w:sz w:val="22"/>
          <w:szCs w:val="22"/>
        </w:rPr>
        <w:t xml:space="preserve"> Blood Genomic DNA </w:t>
      </w:r>
      <w:proofErr w:type="spellStart"/>
      <w:r w:rsidRPr="00CD607B">
        <w:rPr>
          <w:rFonts w:ascii="Calibri" w:eastAsia="Calibri" w:hAnsi="Calibri"/>
          <w:sz w:val="22"/>
          <w:szCs w:val="22"/>
        </w:rPr>
        <w:t>Miniprep</w:t>
      </w:r>
      <w:proofErr w:type="spellEnd"/>
      <w:r w:rsidRPr="00CD607B">
        <w:rPr>
          <w:rFonts w:ascii="Calibri" w:eastAsia="Calibri" w:hAnsi="Calibri"/>
          <w:sz w:val="22"/>
          <w:szCs w:val="22"/>
        </w:rPr>
        <w:t xml:space="preserve"> Kit (catalogue number AP-MN-BL-GDA-50; </w:t>
      </w:r>
      <w:proofErr w:type="spellStart"/>
      <w:r w:rsidRPr="00CD607B">
        <w:rPr>
          <w:rFonts w:ascii="Calibri" w:eastAsia="Calibri" w:hAnsi="Calibri"/>
          <w:sz w:val="22"/>
          <w:szCs w:val="22"/>
        </w:rPr>
        <w:t>Axygen</w:t>
      </w:r>
      <w:proofErr w:type="spellEnd"/>
      <w:r w:rsidRPr="00CD607B">
        <w:rPr>
          <w:rFonts w:ascii="Calibri" w:eastAsia="Calibri" w:hAnsi="Calibri"/>
          <w:sz w:val="22"/>
          <w:szCs w:val="22"/>
        </w:rPr>
        <w:t xml:space="preserve"> Biosciences Inc., Ocean City, California, USA). </w:t>
      </w:r>
    </w:p>
    <w:p w:rsidR="00CD607B" w:rsidRPr="00CD607B" w:rsidRDefault="00CD607B" w:rsidP="00CD607B">
      <w:pPr>
        <w:bidi w:val="0"/>
        <w:jc w:val="both"/>
        <w:rPr>
          <w:rFonts w:ascii="Calibri" w:eastAsia="Calibri" w:hAnsi="Calibri"/>
          <w:sz w:val="22"/>
          <w:szCs w:val="22"/>
        </w:rPr>
      </w:pPr>
      <w:r w:rsidRPr="00CD607B">
        <w:rPr>
          <w:rFonts w:ascii="Calibri" w:eastAsia="Calibri" w:hAnsi="Calibri"/>
          <w:sz w:val="22"/>
          <w:szCs w:val="22"/>
        </w:rPr>
        <w:t xml:space="preserve">Polymerase chain reaction (PCR) was carried out with the forward primer CTC AGG TGT CCT CGA AGA AAT CAA A and Reverse primer GCT TTT TTG CTG TGA GTC CCG. </w:t>
      </w:r>
    </w:p>
    <w:p w:rsidR="00CD607B" w:rsidRPr="00CD607B" w:rsidRDefault="00CD607B" w:rsidP="00CD607B">
      <w:pPr>
        <w:bidi w:val="0"/>
        <w:jc w:val="both"/>
        <w:rPr>
          <w:rFonts w:ascii="Calibri" w:eastAsia="Calibri" w:hAnsi="Calibri"/>
          <w:b/>
          <w:bCs/>
          <w:sz w:val="22"/>
          <w:szCs w:val="22"/>
        </w:rPr>
      </w:pPr>
      <w:r w:rsidRPr="00CD607B">
        <w:rPr>
          <w:rFonts w:ascii="Calibri" w:eastAsia="Calibri" w:hAnsi="Calibri"/>
          <w:sz w:val="22"/>
          <w:szCs w:val="22"/>
        </w:rPr>
        <w:t>The optimized PCR conditions included 2 minutes of denaturation at 95 °C followed by 30 cycles of denaturation at 95°C for 30 sec; annealing at 54°C for 30 sec and extension at 72°C for 30 sec. The PCR was completed with a final extension step of 5 min at 72°C. PCR product of 194 base-pair (</w:t>
      </w:r>
      <w:proofErr w:type="spellStart"/>
      <w:r w:rsidRPr="00CD607B">
        <w:rPr>
          <w:rFonts w:ascii="Calibri" w:eastAsia="Calibri" w:hAnsi="Calibri"/>
          <w:sz w:val="22"/>
          <w:szCs w:val="22"/>
        </w:rPr>
        <w:t>bp</w:t>
      </w:r>
      <w:proofErr w:type="spellEnd"/>
      <w:r w:rsidRPr="00CD607B">
        <w:rPr>
          <w:rFonts w:ascii="Calibri" w:eastAsia="Calibri" w:hAnsi="Calibri"/>
          <w:sz w:val="22"/>
          <w:szCs w:val="22"/>
        </w:rPr>
        <w:t xml:space="preserve">) in size matched on 1.5% agarose gel was subjected to 10 U of </w:t>
      </w:r>
      <w:proofErr w:type="spellStart"/>
      <w:r w:rsidRPr="00CD607B">
        <w:rPr>
          <w:rFonts w:ascii="Calibri" w:eastAsia="Calibri" w:hAnsi="Calibri"/>
          <w:i/>
          <w:iCs/>
          <w:sz w:val="22"/>
          <w:szCs w:val="22"/>
        </w:rPr>
        <w:t>Taq</w:t>
      </w:r>
      <w:proofErr w:type="spellEnd"/>
      <w:r w:rsidRPr="00CD607B">
        <w:rPr>
          <w:rFonts w:ascii="Calibri" w:eastAsia="Calibri" w:hAnsi="Calibri"/>
          <w:i/>
          <w:iCs/>
          <w:sz w:val="22"/>
          <w:szCs w:val="22"/>
        </w:rPr>
        <w:t xml:space="preserve"> </w:t>
      </w:r>
      <w:r w:rsidRPr="00CD607B">
        <w:rPr>
          <w:rFonts w:ascii="Calibri" w:eastAsia="Calibri" w:hAnsi="Calibri"/>
          <w:sz w:val="22"/>
          <w:szCs w:val="22"/>
        </w:rPr>
        <w:t>I restriction enzyme (</w:t>
      </w:r>
      <w:proofErr w:type="spellStart"/>
      <w:r w:rsidRPr="00CD607B">
        <w:rPr>
          <w:rFonts w:ascii="Calibri" w:eastAsia="Calibri" w:hAnsi="Calibri"/>
          <w:sz w:val="22"/>
          <w:szCs w:val="22"/>
        </w:rPr>
        <w:t>Promega</w:t>
      </w:r>
      <w:proofErr w:type="spellEnd"/>
      <w:r w:rsidRPr="00CD607B">
        <w:rPr>
          <w:rFonts w:ascii="Calibri" w:eastAsia="Calibri" w:hAnsi="Calibri"/>
          <w:sz w:val="22"/>
          <w:szCs w:val="22"/>
        </w:rPr>
        <w:t xml:space="preserve">) at 65°C overnight. The restriction pattern was observed on a 3% agarose gel electrophoresis under UV light after staining with ethidium bromide. The enzyme cut a constant band of 12 </w:t>
      </w:r>
      <w:proofErr w:type="spellStart"/>
      <w:r w:rsidRPr="00CD607B">
        <w:rPr>
          <w:rFonts w:ascii="Calibri" w:eastAsia="Calibri" w:hAnsi="Calibri"/>
          <w:sz w:val="22"/>
          <w:szCs w:val="22"/>
        </w:rPr>
        <w:t>bp</w:t>
      </w:r>
      <w:proofErr w:type="spellEnd"/>
      <w:r w:rsidRPr="00CD607B">
        <w:rPr>
          <w:rFonts w:ascii="Calibri" w:eastAsia="Calibri" w:hAnsi="Calibri"/>
          <w:sz w:val="22"/>
          <w:szCs w:val="22"/>
        </w:rPr>
        <w:t xml:space="preserve"> (the absence of which indicates incomplete digestion) followed by two more bands of 85 </w:t>
      </w:r>
      <w:proofErr w:type="spellStart"/>
      <w:r w:rsidRPr="00CD607B">
        <w:rPr>
          <w:rFonts w:ascii="Calibri" w:eastAsia="Calibri" w:hAnsi="Calibri"/>
          <w:sz w:val="22"/>
          <w:szCs w:val="22"/>
        </w:rPr>
        <w:t>bp</w:t>
      </w:r>
      <w:proofErr w:type="spellEnd"/>
      <w:r w:rsidRPr="00CD607B">
        <w:rPr>
          <w:rFonts w:ascii="Calibri" w:eastAsia="Calibri" w:hAnsi="Calibri"/>
          <w:sz w:val="22"/>
          <w:szCs w:val="22"/>
        </w:rPr>
        <w:t xml:space="preserve"> and 97 </w:t>
      </w:r>
      <w:proofErr w:type="spellStart"/>
      <w:r w:rsidRPr="00CD607B">
        <w:rPr>
          <w:rFonts w:ascii="Calibri" w:eastAsia="Calibri" w:hAnsi="Calibri"/>
          <w:sz w:val="22"/>
          <w:szCs w:val="22"/>
        </w:rPr>
        <w:t>bp</w:t>
      </w:r>
      <w:proofErr w:type="spellEnd"/>
      <w:r w:rsidRPr="00CD607B">
        <w:rPr>
          <w:rFonts w:ascii="Calibri" w:eastAsia="Calibri" w:hAnsi="Calibri"/>
          <w:sz w:val="22"/>
          <w:szCs w:val="22"/>
        </w:rPr>
        <w:t xml:space="preserve"> diagnostic for allele-C, whereas for allele-T, a 12 </w:t>
      </w:r>
      <w:proofErr w:type="spellStart"/>
      <w:r w:rsidRPr="00CD607B">
        <w:rPr>
          <w:rFonts w:ascii="Calibri" w:eastAsia="Calibri" w:hAnsi="Calibri"/>
          <w:sz w:val="22"/>
          <w:szCs w:val="22"/>
        </w:rPr>
        <w:t>bp</w:t>
      </w:r>
      <w:proofErr w:type="spellEnd"/>
      <w:r w:rsidRPr="00CD607B">
        <w:rPr>
          <w:rFonts w:ascii="Calibri" w:eastAsia="Calibri" w:hAnsi="Calibri"/>
          <w:sz w:val="22"/>
          <w:szCs w:val="22"/>
        </w:rPr>
        <w:t xml:space="preserve"> and 182 </w:t>
      </w:r>
      <w:proofErr w:type="spellStart"/>
      <w:r w:rsidRPr="00CD607B">
        <w:rPr>
          <w:rFonts w:ascii="Calibri" w:eastAsia="Calibri" w:hAnsi="Calibri"/>
          <w:sz w:val="22"/>
          <w:szCs w:val="22"/>
        </w:rPr>
        <w:t>bp</w:t>
      </w:r>
      <w:proofErr w:type="spellEnd"/>
      <w:r w:rsidRPr="00CD607B">
        <w:rPr>
          <w:rFonts w:ascii="Calibri" w:eastAsia="Calibri" w:hAnsi="Calibri"/>
          <w:sz w:val="22"/>
          <w:szCs w:val="22"/>
        </w:rPr>
        <w:t xml:space="preserve"> were visualized (Figure1).</w:t>
      </w:r>
      <w:r w:rsidRPr="00CD607B">
        <w:rPr>
          <w:rFonts w:ascii="Calibri" w:eastAsia="Calibri" w:hAnsi="Calibri"/>
          <w:b/>
          <w:bCs/>
          <w:sz w:val="22"/>
          <w:szCs w:val="22"/>
        </w:rPr>
        <w:t xml:space="preserve"> </w:t>
      </w:r>
    </w:p>
    <w:p w:rsidR="00CD607B" w:rsidRPr="00CD607B" w:rsidRDefault="00CD607B" w:rsidP="001D09B6">
      <w:pPr>
        <w:bidi w:val="0"/>
        <w:jc w:val="both"/>
        <w:rPr>
          <w:rFonts w:ascii="Calibri" w:eastAsia="Calibri" w:hAnsi="Calibri"/>
          <w:sz w:val="22"/>
          <w:szCs w:val="22"/>
          <w:vertAlign w:val="superscript"/>
          <w:lang w:val="en-GB"/>
        </w:rPr>
      </w:pPr>
      <w:r w:rsidRPr="00CD607B">
        <w:rPr>
          <w:rFonts w:ascii="Calibri" w:eastAsia="Calibri" w:hAnsi="Calibri"/>
          <w:sz w:val="22"/>
          <w:szCs w:val="22"/>
          <w:lang w:val="en-GB"/>
        </w:rPr>
        <w:t>Doppler</w:t>
      </w:r>
      <w:r w:rsidRPr="00CD607B">
        <w:rPr>
          <w:rFonts w:ascii="Calibri" w:eastAsia="Calibri" w:hAnsi="Calibri"/>
          <w:sz w:val="22"/>
          <w:szCs w:val="22"/>
        </w:rPr>
        <w:t xml:space="preserve"> echocardiography was performed for cases to measure pulmonary artery pressure</w:t>
      </w:r>
      <w:r w:rsidRPr="00CD607B">
        <w:rPr>
          <w:rFonts w:ascii="Calibri" w:eastAsia="Calibri" w:hAnsi="Calibri"/>
          <w:bCs/>
          <w:sz w:val="22"/>
          <w:szCs w:val="22"/>
        </w:rPr>
        <w:t xml:space="preserve">. </w:t>
      </w:r>
      <w:r w:rsidRPr="00CD607B">
        <w:rPr>
          <w:rFonts w:ascii="Calibri" w:eastAsia="Calibri" w:hAnsi="Calibri"/>
          <w:sz w:val="22"/>
          <w:szCs w:val="22"/>
          <w:lang w:val="en-GB"/>
        </w:rPr>
        <w:t>Gladwin et al defined pulmonary hypertension as a tricuspid regurgitation jet velocity of at least 2.5 meter per second</w:t>
      </w:r>
      <w:r w:rsidRPr="00CD607B">
        <w:rPr>
          <w:rFonts w:ascii="Calibri" w:eastAsia="Calibri" w:hAnsi="Calibri"/>
          <w:sz w:val="22"/>
          <w:szCs w:val="22"/>
          <w:vertAlign w:val="superscript"/>
          <w:lang w:val="en-GB"/>
        </w:rPr>
        <w:t>17</w:t>
      </w:r>
      <w:r w:rsidR="001D09B6" w:rsidRPr="001D09B6">
        <w:rPr>
          <w:rFonts w:ascii="Calibri" w:eastAsia="Calibri" w:hAnsi="Calibri"/>
          <w:sz w:val="22"/>
          <w:szCs w:val="22"/>
          <w:lang w:val="en-GB"/>
        </w:rPr>
        <w:t>.</w:t>
      </w:r>
      <w:r w:rsidRPr="00CD607B">
        <w:rPr>
          <w:rFonts w:ascii="Calibri" w:eastAsia="Calibri" w:hAnsi="Calibri"/>
          <w:sz w:val="22"/>
          <w:szCs w:val="22"/>
          <w:vertAlign w:val="superscript"/>
          <w:lang w:val="en-GB"/>
        </w:rPr>
        <w:t xml:space="preserve"> </w:t>
      </w:r>
      <w:r w:rsidRPr="00CD607B">
        <w:rPr>
          <w:rFonts w:ascii="Calibri" w:eastAsia="Calibri" w:hAnsi="Calibri"/>
          <w:sz w:val="22"/>
          <w:szCs w:val="22"/>
        </w:rPr>
        <w:t>Right ventricular systolic pressure (RVSP) could be estimated by measuring the tricuspid regurgitation (TR) jet maximum velocity by spectral Doppler. The right atrial (RA) pressure could be estimated by the respiratory collapsibility of the inferior vena cava. If there was no significant stenosis at the right ventricular outflow tract, or the pulmonary valve, the RVSP was equivalent to the pulmonary artery systolic pressure</w:t>
      </w:r>
      <w:r w:rsidRPr="00CD607B">
        <w:rPr>
          <w:rFonts w:ascii="Calibri" w:eastAsia="Calibri" w:hAnsi="Calibri"/>
          <w:sz w:val="22"/>
          <w:szCs w:val="22"/>
          <w:vertAlign w:val="superscript"/>
        </w:rPr>
        <w:t>18</w:t>
      </w:r>
      <w:r w:rsidR="001D09B6" w:rsidRPr="001D09B6">
        <w:rPr>
          <w:rFonts w:ascii="Calibri" w:eastAsia="Calibri" w:hAnsi="Calibri"/>
          <w:sz w:val="22"/>
          <w:szCs w:val="22"/>
          <w:lang w:val="en-GB"/>
        </w:rPr>
        <w:t>.</w:t>
      </w:r>
    </w:p>
    <w:p w:rsidR="00CD607B" w:rsidRPr="00CD607B" w:rsidRDefault="00CD607B" w:rsidP="00CD607B">
      <w:pPr>
        <w:bidi w:val="0"/>
        <w:jc w:val="both"/>
        <w:rPr>
          <w:rFonts w:ascii="Calibri" w:eastAsia="Calibri" w:hAnsi="Calibri"/>
          <w:sz w:val="22"/>
          <w:szCs w:val="22"/>
        </w:rPr>
      </w:pPr>
      <w:r w:rsidRPr="00CD607B">
        <w:rPr>
          <w:rFonts w:ascii="Calibri" w:eastAsia="Calibri" w:hAnsi="Calibri"/>
          <w:sz w:val="22"/>
          <w:szCs w:val="22"/>
        </w:rPr>
        <w:t xml:space="preserve">The results of measuring end systolic pulmonary artery pressure (ESPAP) were analyzed into mean, minimum, maximum, and median and comparison </w:t>
      </w:r>
      <w:r w:rsidRPr="00CD607B">
        <w:rPr>
          <w:rFonts w:ascii="Calibri" w:eastAsia="Calibri" w:hAnsi="Calibri"/>
          <w:sz w:val="22"/>
          <w:szCs w:val="22"/>
        </w:rPr>
        <w:lastRenderedPageBreak/>
        <w:t>of mean ESPAP between different genotypes was performed.</w:t>
      </w:r>
    </w:p>
    <w:p w:rsidR="00CD607B" w:rsidRDefault="00CD607B" w:rsidP="00C10ED9">
      <w:pPr>
        <w:bidi w:val="0"/>
        <w:jc w:val="both"/>
        <w:rPr>
          <w:rFonts w:ascii="Calibri" w:eastAsia="Calibri" w:hAnsi="Calibri"/>
          <w:sz w:val="22"/>
          <w:szCs w:val="22"/>
        </w:rPr>
      </w:pPr>
    </w:p>
    <w:p w:rsidR="00CD607B" w:rsidRPr="00CD607B" w:rsidRDefault="00CD607B" w:rsidP="00CD607B">
      <w:pPr>
        <w:bidi w:val="0"/>
        <w:jc w:val="both"/>
        <w:rPr>
          <w:rFonts w:ascii="Calibri" w:eastAsia="Calibri" w:hAnsi="Calibri"/>
          <w:b/>
          <w:bCs/>
          <w:sz w:val="22"/>
          <w:szCs w:val="22"/>
        </w:rPr>
      </w:pPr>
      <w:r w:rsidRPr="00CD607B">
        <w:rPr>
          <w:rFonts w:ascii="Calibri" w:eastAsia="Calibri" w:hAnsi="Calibri"/>
          <w:b/>
          <w:bCs/>
          <w:sz w:val="22"/>
          <w:szCs w:val="22"/>
        </w:rPr>
        <w:t xml:space="preserve">Statistical </w:t>
      </w:r>
      <w:r>
        <w:rPr>
          <w:rFonts w:ascii="Calibri" w:eastAsia="Calibri" w:hAnsi="Calibri"/>
          <w:b/>
          <w:bCs/>
          <w:sz w:val="22"/>
          <w:szCs w:val="22"/>
        </w:rPr>
        <w:t>analysis</w:t>
      </w:r>
      <w:r w:rsidRPr="00CD607B">
        <w:rPr>
          <w:rFonts w:ascii="Calibri" w:eastAsia="Calibri" w:hAnsi="Calibri"/>
          <w:b/>
          <w:bCs/>
          <w:sz w:val="22"/>
          <w:szCs w:val="22"/>
        </w:rPr>
        <w:t xml:space="preserve"> </w:t>
      </w:r>
    </w:p>
    <w:p w:rsidR="00CD607B" w:rsidRPr="00CD607B" w:rsidRDefault="00CD607B" w:rsidP="00CD607B">
      <w:pPr>
        <w:bidi w:val="0"/>
        <w:jc w:val="both"/>
        <w:rPr>
          <w:rFonts w:ascii="Calibri" w:eastAsia="Calibri" w:hAnsi="Calibri"/>
          <w:sz w:val="22"/>
          <w:szCs w:val="22"/>
        </w:rPr>
      </w:pPr>
      <w:r w:rsidRPr="00CD607B">
        <w:rPr>
          <w:rFonts w:ascii="Calibri" w:eastAsia="Calibri" w:hAnsi="Calibri"/>
          <w:sz w:val="22"/>
          <w:szCs w:val="22"/>
        </w:rPr>
        <w:t>Data were statistically described in terms of mean ± standard deviation (±SD), median and range, or frequencies (number of cases) and percentages when appropriate.</w:t>
      </w:r>
    </w:p>
    <w:p w:rsidR="00CD607B" w:rsidRDefault="00CD607B" w:rsidP="00CD607B">
      <w:pPr>
        <w:bidi w:val="0"/>
        <w:jc w:val="both"/>
        <w:rPr>
          <w:rFonts w:ascii="Calibri" w:eastAsia="Calibri" w:hAnsi="Calibri"/>
          <w:sz w:val="22"/>
          <w:szCs w:val="22"/>
        </w:rPr>
      </w:pPr>
      <w:r w:rsidRPr="00CD607B">
        <w:rPr>
          <w:rFonts w:ascii="Calibri" w:eastAsia="Calibri" w:hAnsi="Calibri"/>
          <w:sz w:val="22"/>
          <w:szCs w:val="22"/>
        </w:rPr>
        <w:t>Comparison of numerical variables between the study groups was done using Student’s t-test for independent samples in comparing two groups when normally distributed and Mann–Whitney U test for independent samples when not normally distributed. For comparing categorical data, x</w:t>
      </w:r>
      <w:r w:rsidRPr="00CD607B">
        <w:rPr>
          <w:rFonts w:ascii="Calibri" w:eastAsia="Calibri" w:hAnsi="Calibri"/>
          <w:sz w:val="22"/>
          <w:szCs w:val="22"/>
          <w:vertAlign w:val="superscript"/>
        </w:rPr>
        <w:t>2</w:t>
      </w:r>
      <w:r w:rsidRPr="00CD607B">
        <w:rPr>
          <w:rFonts w:ascii="Calibri" w:eastAsia="Calibri" w:hAnsi="Calibri"/>
          <w:sz w:val="22"/>
          <w:szCs w:val="22"/>
        </w:rPr>
        <w:t xml:space="preserve"> test was performed. Exact test was used instead when the expected frequency is less than 5. Odds ratio (OR) with its 95% confidence interval (95%CI) was calculated to the different genotypes as well as alleles between the different study groups. P values less than 0.05 were considered statistically significant. All statistical calculations were done using computer program SPSS (Statistical Package for the Social Science; SPSS Inc., Chicago, Illinois, USA) release 15 for Microsoft Windows (2006).</w:t>
      </w:r>
    </w:p>
    <w:p w:rsidR="00CD607B" w:rsidRDefault="00CD607B" w:rsidP="00CD607B">
      <w:pPr>
        <w:bidi w:val="0"/>
        <w:jc w:val="both"/>
        <w:rPr>
          <w:rFonts w:ascii="Calibri" w:eastAsia="Calibri" w:hAnsi="Calibri"/>
          <w:sz w:val="22"/>
          <w:szCs w:val="22"/>
        </w:rPr>
      </w:pPr>
    </w:p>
    <w:p w:rsidR="00CD607B" w:rsidRPr="00CD607B" w:rsidRDefault="001D09B6" w:rsidP="00AA4892">
      <w:pPr>
        <w:bidi w:val="0"/>
        <w:rPr>
          <w:rFonts w:ascii="Calibri" w:eastAsia="Calibri" w:hAnsi="Calibri"/>
          <w:b/>
          <w:bCs/>
          <w:sz w:val="22"/>
          <w:szCs w:val="22"/>
        </w:rPr>
      </w:pPr>
      <w:r w:rsidRPr="001D09B6">
        <w:rPr>
          <w:rFonts w:ascii="Calibri" w:eastAsia="Calibri" w:hAnsi="Calibri"/>
          <w:b/>
          <w:bCs/>
          <w:sz w:val="22"/>
          <w:szCs w:val="22"/>
        </w:rPr>
        <w:t>RESULTS</w:t>
      </w:r>
    </w:p>
    <w:p w:rsidR="00CD607B" w:rsidRDefault="001D09B6" w:rsidP="00CD607B">
      <w:pPr>
        <w:bidi w:val="0"/>
        <w:jc w:val="both"/>
        <w:rPr>
          <w:rFonts w:ascii="Calibri" w:eastAsia="Calibri" w:hAnsi="Calibri"/>
          <w:sz w:val="22"/>
          <w:szCs w:val="22"/>
        </w:rPr>
      </w:pPr>
      <w:r>
        <w:rPr>
          <w:rFonts w:ascii="Calibri" w:eastAsia="Calibri" w:hAnsi="Calibri"/>
          <w:sz w:val="22"/>
          <w:szCs w:val="22"/>
        </w:rPr>
        <w:t xml:space="preserve">   </w:t>
      </w:r>
      <w:r w:rsidR="00CD607B" w:rsidRPr="00CD607B">
        <w:rPr>
          <w:rFonts w:ascii="Calibri" w:eastAsia="Calibri" w:hAnsi="Calibri"/>
          <w:sz w:val="22"/>
          <w:szCs w:val="22"/>
        </w:rPr>
        <w:t>The clinical and laboratory characteristics of the studied patients are shown in table 1. The patients’ mean age was 12.24 ± 5.5 years.  The ages ranged from 3 years to 26 years with a median of 12 years. Twenty-five cases (50.0%) were males and 25 (50.0%) were females. Regarding the control group, the mean age was 9.38 ± 2.24; 26 (52%) were males and 24 (48%) were females.</w:t>
      </w: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004F3B" w:rsidRDefault="00004F3B" w:rsidP="00004F3B">
      <w:pPr>
        <w:bidi w:val="0"/>
        <w:jc w:val="both"/>
        <w:rPr>
          <w:rFonts w:ascii="Calibri" w:eastAsia="Calibri" w:hAnsi="Calibri"/>
          <w:sz w:val="22"/>
          <w:szCs w:val="22"/>
        </w:rPr>
      </w:pPr>
    </w:p>
    <w:p w:rsidR="00CD607B" w:rsidRPr="001D09B6" w:rsidRDefault="00CD607B" w:rsidP="00004F3B">
      <w:pPr>
        <w:pStyle w:val="Heading4"/>
        <w:rPr>
          <w:rFonts w:eastAsia="Calibri"/>
          <w:b w:val="0"/>
          <w:bCs/>
          <w:iCs/>
        </w:rPr>
      </w:pPr>
      <w:r w:rsidRPr="00CD607B">
        <w:rPr>
          <w:rFonts w:eastAsia="Calibri"/>
        </w:rPr>
        <w:lastRenderedPageBreak/>
        <w:t xml:space="preserve"> Table 1: </w:t>
      </w:r>
      <w:r w:rsidRPr="001D09B6">
        <w:rPr>
          <w:rFonts w:eastAsia="Calibri"/>
          <w:b w:val="0"/>
          <w:bCs/>
        </w:rPr>
        <w:t xml:space="preserve">Demographic, Clinical and Laboratory data of the study group </w:t>
      </w:r>
    </w:p>
    <w:tbl>
      <w:tblPr>
        <w:tblW w:w="5000" w:type="pct"/>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931"/>
        <w:gridCol w:w="1965"/>
      </w:tblGrid>
      <w:tr w:rsidR="00CD607B" w:rsidRPr="00AA4892" w:rsidTr="00AA4892">
        <w:trPr>
          <w:trHeight w:val="20"/>
        </w:trPr>
        <w:tc>
          <w:tcPr>
            <w:tcW w:w="2993"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Cs/>
                <w:iCs/>
              </w:rPr>
            </w:pPr>
            <w:bookmarkStart w:id="0" w:name="_Toc470036796"/>
          </w:p>
        </w:tc>
        <w:tc>
          <w:tcPr>
            <w:tcW w:w="2007"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Cs/>
                <w:i/>
                <w:iCs/>
              </w:rPr>
            </w:pPr>
            <w:r w:rsidRPr="00AA4892">
              <w:rPr>
                <w:rFonts w:eastAsia="Calibri"/>
                <w:bCs/>
                <w:iCs/>
              </w:rPr>
              <w:t>Mean ± SD</w:t>
            </w:r>
          </w:p>
        </w:tc>
      </w:tr>
      <w:tr w:rsidR="00CD607B" w:rsidRPr="00AA4892" w:rsidTr="00AA4892">
        <w:trPr>
          <w:trHeight w:val="20"/>
        </w:trPr>
        <w:tc>
          <w:tcPr>
            <w:tcW w:w="2993"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iCs/>
              </w:rPr>
            </w:pPr>
            <w:r w:rsidRPr="00AA4892">
              <w:rPr>
                <w:rFonts w:eastAsia="Calibri"/>
                <w:b w:val="0"/>
                <w:iCs/>
              </w:rPr>
              <w:t>Weight (kg)</w:t>
            </w:r>
          </w:p>
        </w:tc>
        <w:tc>
          <w:tcPr>
            <w:tcW w:w="2007" w:type="pct"/>
            <w:tcBorders>
              <w:top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34.9 ± 15.4</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Height (cm)</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134.5 ± 28.9</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Age at onset (years)</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2.6 ± 1.4</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Age at first blood transfusion (years)</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3.3 ± 2.3</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Number of transfusions</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12.0 ± 8.2</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CBC</w:t>
            </w:r>
          </w:p>
          <w:p w:rsidR="00CD607B" w:rsidRPr="00AA4892" w:rsidRDefault="00CD607B" w:rsidP="00AA4892">
            <w:pPr>
              <w:pStyle w:val="Heading4"/>
              <w:rPr>
                <w:rFonts w:eastAsia="Calibri"/>
                <w:b w:val="0"/>
              </w:rPr>
            </w:pPr>
            <w:r w:rsidRPr="00AA4892">
              <w:rPr>
                <w:rFonts w:eastAsia="Calibri"/>
                <w:b w:val="0"/>
              </w:rPr>
              <w:t>HB (g/dl)</w:t>
            </w:r>
          </w:p>
          <w:p w:rsidR="00CD607B" w:rsidRPr="00AA4892" w:rsidRDefault="00CD607B" w:rsidP="00AA4892">
            <w:pPr>
              <w:pStyle w:val="Heading4"/>
              <w:rPr>
                <w:rFonts w:eastAsia="Calibri"/>
                <w:b w:val="0"/>
              </w:rPr>
            </w:pPr>
            <w:r w:rsidRPr="00AA4892">
              <w:rPr>
                <w:rFonts w:eastAsia="Calibri"/>
                <w:b w:val="0"/>
              </w:rPr>
              <w:t>PLT (x 10</w:t>
            </w:r>
            <w:r w:rsidRPr="00AA4892">
              <w:rPr>
                <w:rFonts w:eastAsia="Calibri"/>
                <w:b w:val="0"/>
                <w:vertAlign w:val="superscript"/>
              </w:rPr>
              <w:t>3</w:t>
            </w:r>
            <w:r w:rsidRPr="00AA4892">
              <w:rPr>
                <w:rFonts w:eastAsia="Calibri"/>
                <w:b w:val="0"/>
              </w:rPr>
              <w:t>/</w:t>
            </w:r>
            <w:proofErr w:type="spellStart"/>
            <w:r w:rsidRPr="00AA4892">
              <w:rPr>
                <w:rFonts w:eastAsia="Calibri"/>
                <w:b w:val="0"/>
              </w:rPr>
              <w:t>cmm</w:t>
            </w:r>
            <w:proofErr w:type="spellEnd"/>
            <w:r w:rsidRPr="00AA4892">
              <w:rPr>
                <w:rFonts w:eastAsia="Calibri"/>
                <w:b w:val="0"/>
              </w:rPr>
              <w:t>)</w:t>
            </w:r>
          </w:p>
          <w:p w:rsidR="00CD607B" w:rsidRPr="00AA4892" w:rsidRDefault="00CD607B" w:rsidP="00AA4892">
            <w:pPr>
              <w:pStyle w:val="Heading4"/>
              <w:rPr>
                <w:rFonts w:eastAsia="Calibri"/>
                <w:b w:val="0"/>
              </w:rPr>
            </w:pPr>
            <w:r w:rsidRPr="00AA4892">
              <w:rPr>
                <w:rFonts w:eastAsia="Calibri"/>
                <w:b w:val="0"/>
              </w:rPr>
              <w:t>TLC (x 10</w:t>
            </w:r>
            <w:r w:rsidRPr="00AA4892">
              <w:rPr>
                <w:rFonts w:eastAsia="Calibri"/>
                <w:b w:val="0"/>
                <w:vertAlign w:val="superscript"/>
              </w:rPr>
              <w:t>3</w:t>
            </w:r>
            <w:r w:rsidRPr="00AA4892">
              <w:rPr>
                <w:rFonts w:eastAsia="Calibri"/>
                <w:b w:val="0"/>
              </w:rPr>
              <w:t>/</w:t>
            </w:r>
            <w:proofErr w:type="spellStart"/>
            <w:r w:rsidRPr="00AA4892">
              <w:rPr>
                <w:rFonts w:eastAsia="Calibri"/>
                <w:b w:val="0"/>
              </w:rPr>
              <w:t>cmm</w:t>
            </w:r>
            <w:proofErr w:type="spellEnd"/>
            <w:r w:rsidRPr="00AA4892">
              <w:rPr>
                <w:rFonts w:eastAsia="Calibri"/>
                <w:b w:val="0"/>
              </w:rPr>
              <w:t>)</w:t>
            </w:r>
          </w:p>
          <w:p w:rsidR="00CD607B" w:rsidRPr="00AA4892" w:rsidRDefault="00CD607B" w:rsidP="00AA4892">
            <w:pPr>
              <w:pStyle w:val="Heading4"/>
              <w:rPr>
                <w:rFonts w:eastAsia="Calibri"/>
                <w:b w:val="0"/>
              </w:rPr>
            </w:pPr>
            <w:r w:rsidRPr="00AA4892">
              <w:rPr>
                <w:rFonts w:eastAsia="Calibri"/>
                <w:b w:val="0"/>
              </w:rPr>
              <w:t>HCT (%)</w:t>
            </w:r>
          </w:p>
          <w:p w:rsidR="00CD607B" w:rsidRPr="00AA4892" w:rsidRDefault="00CD607B" w:rsidP="00AA4892">
            <w:pPr>
              <w:pStyle w:val="Heading4"/>
              <w:rPr>
                <w:rFonts w:eastAsia="Calibri"/>
                <w:b w:val="0"/>
              </w:rPr>
            </w:pPr>
            <w:r w:rsidRPr="00AA4892">
              <w:rPr>
                <w:rFonts w:eastAsia="Calibri"/>
                <w:b w:val="0"/>
              </w:rPr>
              <w:t>MCV (</w:t>
            </w:r>
            <w:proofErr w:type="spellStart"/>
            <w:r w:rsidRPr="00AA4892">
              <w:rPr>
                <w:rFonts w:eastAsia="Calibri"/>
                <w:b w:val="0"/>
              </w:rPr>
              <w:t>fl</w:t>
            </w:r>
            <w:proofErr w:type="spellEnd"/>
            <w:r w:rsidRPr="00AA4892">
              <w:rPr>
                <w:rFonts w:eastAsia="Calibri"/>
                <w:b w:val="0"/>
              </w:rPr>
              <w:t>)</w:t>
            </w:r>
          </w:p>
          <w:p w:rsidR="00CD607B" w:rsidRPr="00AA4892" w:rsidRDefault="00CD607B" w:rsidP="00AA4892">
            <w:pPr>
              <w:pStyle w:val="Heading4"/>
              <w:rPr>
                <w:rFonts w:eastAsia="Calibri"/>
                <w:b w:val="0"/>
              </w:rPr>
            </w:pPr>
            <w:r w:rsidRPr="00AA4892">
              <w:rPr>
                <w:rFonts w:eastAsia="Calibri"/>
                <w:b w:val="0"/>
              </w:rPr>
              <w:t>MCH (</w:t>
            </w:r>
            <w:proofErr w:type="spellStart"/>
            <w:r w:rsidRPr="00AA4892">
              <w:rPr>
                <w:rFonts w:eastAsia="Calibri"/>
                <w:b w:val="0"/>
              </w:rPr>
              <w:t>pg</w:t>
            </w:r>
            <w:proofErr w:type="spellEnd"/>
            <w:r w:rsidRPr="00AA4892">
              <w:rPr>
                <w:rFonts w:eastAsia="Calibri"/>
                <w:b w:val="0"/>
              </w:rPr>
              <w:t>)</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8.75 ± 0.78</w:t>
            </w:r>
          </w:p>
          <w:p w:rsidR="00CD607B" w:rsidRPr="00AA4892" w:rsidRDefault="00CD607B" w:rsidP="00AA4892">
            <w:pPr>
              <w:pStyle w:val="Heading4"/>
              <w:rPr>
                <w:rFonts w:eastAsia="Calibri"/>
                <w:b w:val="0"/>
                <w:i/>
                <w:iCs/>
              </w:rPr>
            </w:pPr>
            <w:r w:rsidRPr="00AA4892">
              <w:rPr>
                <w:rFonts w:eastAsia="Calibri"/>
                <w:b w:val="0"/>
                <w:iCs/>
              </w:rPr>
              <w:t>355.5 ± 135.6</w:t>
            </w:r>
          </w:p>
          <w:p w:rsidR="00CD607B" w:rsidRPr="00AA4892" w:rsidRDefault="00CD607B" w:rsidP="00AA4892">
            <w:pPr>
              <w:pStyle w:val="Heading4"/>
              <w:rPr>
                <w:rFonts w:eastAsia="Calibri"/>
                <w:b w:val="0"/>
                <w:i/>
                <w:iCs/>
              </w:rPr>
            </w:pPr>
            <w:r w:rsidRPr="00AA4892">
              <w:rPr>
                <w:rFonts w:eastAsia="Calibri"/>
                <w:b w:val="0"/>
                <w:iCs/>
              </w:rPr>
              <w:t>9.13 ± 2.29</w:t>
            </w:r>
          </w:p>
          <w:p w:rsidR="00CD607B" w:rsidRPr="00AA4892" w:rsidRDefault="00CD607B" w:rsidP="00AA4892">
            <w:pPr>
              <w:pStyle w:val="Heading4"/>
              <w:rPr>
                <w:rFonts w:eastAsia="Calibri"/>
                <w:b w:val="0"/>
                <w:i/>
                <w:iCs/>
              </w:rPr>
            </w:pPr>
            <w:r w:rsidRPr="00AA4892">
              <w:rPr>
                <w:rFonts w:eastAsia="Calibri"/>
                <w:b w:val="0"/>
                <w:iCs/>
              </w:rPr>
              <w:t>23.26 ± 2.1</w:t>
            </w:r>
          </w:p>
          <w:p w:rsidR="00CD607B" w:rsidRPr="00AA4892" w:rsidRDefault="00CD607B" w:rsidP="00AA4892">
            <w:pPr>
              <w:pStyle w:val="Heading4"/>
              <w:rPr>
                <w:rFonts w:eastAsia="Calibri"/>
                <w:b w:val="0"/>
                <w:i/>
                <w:iCs/>
              </w:rPr>
            </w:pPr>
            <w:r w:rsidRPr="00AA4892">
              <w:rPr>
                <w:rFonts w:eastAsia="Calibri"/>
                <w:b w:val="0"/>
                <w:iCs/>
              </w:rPr>
              <w:t>98.18 ± 13.8</w:t>
            </w:r>
          </w:p>
          <w:p w:rsidR="00CD607B" w:rsidRPr="00AA4892" w:rsidRDefault="00CD607B" w:rsidP="00AA4892">
            <w:pPr>
              <w:pStyle w:val="Heading4"/>
              <w:rPr>
                <w:rFonts w:eastAsia="Calibri"/>
                <w:b w:val="0"/>
              </w:rPr>
            </w:pPr>
            <w:r w:rsidRPr="00AA4892">
              <w:rPr>
                <w:rFonts w:eastAsia="Calibri"/>
                <w:b w:val="0"/>
                <w:iCs/>
              </w:rPr>
              <w:t>26.37 ± 4.19</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RETICS (%)</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rPr>
            </w:pPr>
            <w:r w:rsidRPr="00AA4892">
              <w:rPr>
                <w:rFonts w:eastAsia="Calibri"/>
                <w:b w:val="0"/>
                <w:iCs/>
              </w:rPr>
              <w:t>6.19 ± 2.78</w:t>
            </w:r>
          </w:p>
        </w:tc>
      </w:tr>
      <w:bookmarkEnd w:id="0"/>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Ferritin (ng/ml)</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rPr>
            </w:pPr>
            <w:r w:rsidRPr="00AA4892">
              <w:rPr>
                <w:rFonts w:eastAsia="Calibri"/>
                <w:b w:val="0"/>
                <w:iCs/>
              </w:rPr>
              <w:t>381.4 ± 230.2</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proofErr w:type="spellStart"/>
            <w:r w:rsidRPr="00AA4892">
              <w:rPr>
                <w:rFonts w:eastAsia="Calibri"/>
                <w:b w:val="0"/>
              </w:rPr>
              <w:t>Haemoglobin</w:t>
            </w:r>
            <w:proofErr w:type="spellEnd"/>
            <w:r w:rsidRPr="00AA4892">
              <w:rPr>
                <w:rFonts w:eastAsia="Calibri"/>
                <w:b w:val="0"/>
              </w:rPr>
              <w:t xml:space="preserve"> electrophoresis</w:t>
            </w:r>
          </w:p>
          <w:p w:rsidR="00CD607B" w:rsidRPr="00AA4892" w:rsidRDefault="00CD607B" w:rsidP="00AA4892">
            <w:pPr>
              <w:pStyle w:val="Heading4"/>
              <w:rPr>
                <w:rFonts w:eastAsia="Calibri"/>
                <w:b w:val="0"/>
              </w:rPr>
            </w:pPr>
          </w:p>
          <w:p w:rsidR="00CD607B" w:rsidRPr="00AA4892" w:rsidRDefault="00CD607B" w:rsidP="00AA4892">
            <w:pPr>
              <w:pStyle w:val="Heading4"/>
              <w:rPr>
                <w:rFonts w:eastAsia="Calibri"/>
                <w:b w:val="0"/>
              </w:rPr>
            </w:pPr>
            <w:proofErr w:type="spellStart"/>
            <w:r w:rsidRPr="00AA4892">
              <w:rPr>
                <w:rFonts w:eastAsia="Calibri"/>
                <w:b w:val="0"/>
              </w:rPr>
              <w:t>HbA</w:t>
            </w:r>
            <w:proofErr w:type="spellEnd"/>
            <w:r w:rsidRPr="00AA4892">
              <w:rPr>
                <w:rFonts w:eastAsia="Calibri"/>
                <w:b w:val="0"/>
              </w:rPr>
              <w:t>%</w:t>
            </w:r>
          </w:p>
          <w:p w:rsidR="00CD607B" w:rsidRPr="00AA4892" w:rsidRDefault="00CD607B" w:rsidP="00AA4892">
            <w:pPr>
              <w:pStyle w:val="Heading4"/>
              <w:rPr>
                <w:rFonts w:eastAsia="Calibri"/>
                <w:b w:val="0"/>
              </w:rPr>
            </w:pPr>
            <w:proofErr w:type="spellStart"/>
            <w:r w:rsidRPr="00AA4892">
              <w:rPr>
                <w:rFonts w:eastAsia="Calibri"/>
                <w:b w:val="0"/>
              </w:rPr>
              <w:t>HbF</w:t>
            </w:r>
            <w:proofErr w:type="spellEnd"/>
            <w:r w:rsidRPr="00AA4892">
              <w:rPr>
                <w:rFonts w:eastAsia="Calibri"/>
                <w:b w:val="0"/>
              </w:rPr>
              <w:t xml:space="preserve"> %</w:t>
            </w:r>
          </w:p>
          <w:p w:rsidR="00CD607B" w:rsidRPr="00AA4892" w:rsidRDefault="00CD607B" w:rsidP="00AA4892">
            <w:pPr>
              <w:pStyle w:val="Heading4"/>
              <w:rPr>
                <w:rFonts w:eastAsia="Calibri"/>
                <w:b w:val="0"/>
              </w:rPr>
            </w:pPr>
            <w:proofErr w:type="spellStart"/>
            <w:r w:rsidRPr="00AA4892">
              <w:rPr>
                <w:rFonts w:eastAsia="Calibri"/>
                <w:b w:val="0"/>
              </w:rPr>
              <w:t>HbS</w:t>
            </w:r>
            <w:proofErr w:type="spellEnd"/>
            <w:r w:rsidRPr="00AA4892">
              <w:rPr>
                <w:rFonts w:eastAsia="Calibri"/>
                <w:b w:val="0"/>
              </w:rPr>
              <w:t xml:space="preserve"> %</w:t>
            </w:r>
          </w:p>
          <w:p w:rsidR="00CD607B" w:rsidRPr="00AA4892" w:rsidRDefault="00CD607B" w:rsidP="00AA4892">
            <w:pPr>
              <w:pStyle w:val="Heading4"/>
              <w:rPr>
                <w:rFonts w:eastAsia="Calibri"/>
                <w:b w:val="0"/>
              </w:rPr>
            </w:pPr>
            <w:proofErr w:type="spellStart"/>
            <w:r w:rsidRPr="00AA4892">
              <w:rPr>
                <w:rFonts w:eastAsia="Calibri"/>
                <w:b w:val="0"/>
              </w:rPr>
              <w:t>HbA</w:t>
            </w:r>
            <w:proofErr w:type="spellEnd"/>
            <w:r w:rsidRPr="00AA4892">
              <w:rPr>
                <w:rFonts w:eastAsia="Calibri"/>
                <w:b w:val="0"/>
              </w:rPr>
              <w:t xml:space="preserve"> 2%</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rPr>
            </w:pPr>
          </w:p>
          <w:p w:rsidR="00CD607B" w:rsidRPr="00AA4892" w:rsidRDefault="00CD607B" w:rsidP="00AA4892">
            <w:pPr>
              <w:pStyle w:val="Heading4"/>
              <w:rPr>
                <w:rFonts w:eastAsia="Calibri"/>
                <w:b w:val="0"/>
              </w:rPr>
            </w:pPr>
            <w:r w:rsidRPr="00AA4892">
              <w:rPr>
                <w:rFonts w:eastAsia="Calibri"/>
                <w:b w:val="0"/>
              </w:rPr>
              <w:t>13.39 ± 15.86</w:t>
            </w:r>
          </w:p>
          <w:p w:rsidR="00CD607B" w:rsidRPr="00AA4892" w:rsidRDefault="00CD607B" w:rsidP="00AA4892">
            <w:pPr>
              <w:pStyle w:val="Heading4"/>
              <w:rPr>
                <w:rFonts w:eastAsia="Calibri"/>
                <w:b w:val="0"/>
              </w:rPr>
            </w:pPr>
            <w:r w:rsidRPr="00AA4892">
              <w:rPr>
                <w:rFonts w:eastAsia="Calibri"/>
                <w:b w:val="0"/>
              </w:rPr>
              <w:t>16 ± 11.9</w:t>
            </w:r>
          </w:p>
          <w:p w:rsidR="00CD607B" w:rsidRPr="00AA4892" w:rsidRDefault="00CD607B" w:rsidP="00AA4892">
            <w:pPr>
              <w:pStyle w:val="Heading4"/>
              <w:rPr>
                <w:rFonts w:eastAsia="Calibri"/>
                <w:b w:val="0"/>
              </w:rPr>
            </w:pPr>
            <w:r w:rsidRPr="00AA4892">
              <w:rPr>
                <w:rFonts w:eastAsia="Calibri"/>
                <w:b w:val="0"/>
              </w:rPr>
              <w:t>68.54 ± 14.09</w:t>
            </w:r>
          </w:p>
          <w:p w:rsidR="00CD607B" w:rsidRPr="00AA4892" w:rsidRDefault="00CD607B" w:rsidP="00AA4892">
            <w:pPr>
              <w:pStyle w:val="Heading4"/>
              <w:rPr>
                <w:rFonts w:eastAsia="Calibri"/>
                <w:b w:val="0"/>
              </w:rPr>
            </w:pPr>
            <w:r w:rsidRPr="00AA4892">
              <w:rPr>
                <w:rFonts w:eastAsia="Calibri"/>
                <w:b w:val="0"/>
              </w:rPr>
              <w:t>3.30 ± 4.21</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ALT (U/l)</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rPr>
            </w:pPr>
            <w:r w:rsidRPr="00AA4892">
              <w:rPr>
                <w:rFonts w:eastAsia="Calibri"/>
                <w:b w:val="0"/>
                <w:iCs/>
              </w:rPr>
              <w:t>26.52 ± 14.97</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AST (U/l)</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rPr>
            </w:pPr>
            <w:r w:rsidRPr="00AA4892">
              <w:rPr>
                <w:rFonts w:eastAsia="Calibri"/>
                <w:b w:val="0"/>
                <w:iCs/>
              </w:rPr>
              <w:t>30.40 ± 14.87</w:t>
            </w:r>
          </w:p>
        </w:tc>
      </w:tr>
      <w:tr w:rsidR="00CD607B" w:rsidRPr="00AA4892" w:rsidTr="00AA4892">
        <w:trPr>
          <w:trHeight w:val="20"/>
        </w:trPr>
        <w:tc>
          <w:tcPr>
            <w:tcW w:w="299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rPr>
            </w:pPr>
            <w:r w:rsidRPr="00AA4892">
              <w:rPr>
                <w:rFonts w:eastAsia="Calibri"/>
                <w:b w:val="0"/>
              </w:rPr>
              <w:t>Creatinine (mg/dl)</w:t>
            </w:r>
          </w:p>
        </w:tc>
        <w:tc>
          <w:tcPr>
            <w:tcW w:w="2007"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i/>
                <w:iCs/>
              </w:rPr>
            </w:pPr>
            <w:r w:rsidRPr="00AA4892">
              <w:rPr>
                <w:rFonts w:eastAsia="Calibri"/>
                <w:b w:val="0"/>
                <w:iCs/>
              </w:rPr>
              <w:t>1 ± 0.4</w:t>
            </w:r>
          </w:p>
        </w:tc>
      </w:tr>
    </w:tbl>
    <w:p w:rsidR="00CD607B" w:rsidRPr="00CD607B" w:rsidRDefault="00CD607B" w:rsidP="00AA4892">
      <w:pPr>
        <w:pStyle w:val="Heading4"/>
        <w:rPr>
          <w:rFonts w:eastAsia="Calibri"/>
        </w:rPr>
      </w:pPr>
    </w:p>
    <w:p w:rsidR="00CD607B" w:rsidRPr="00CD607B" w:rsidRDefault="00CD607B" w:rsidP="00AA4892">
      <w:pPr>
        <w:pStyle w:val="Heading4"/>
        <w:rPr>
          <w:rFonts w:eastAsia="Calibri"/>
        </w:rPr>
      </w:pPr>
    </w:p>
    <w:p w:rsidR="00CD607B" w:rsidRPr="00CD607B" w:rsidRDefault="00CD607B" w:rsidP="00CD607B">
      <w:pPr>
        <w:bidi w:val="0"/>
        <w:jc w:val="both"/>
        <w:rPr>
          <w:rFonts w:ascii="Calibri" w:eastAsia="Calibri" w:hAnsi="Calibri"/>
          <w:b/>
          <w:bCs/>
          <w:sz w:val="22"/>
          <w:szCs w:val="22"/>
        </w:rPr>
      </w:pPr>
      <w:r w:rsidRPr="00CD607B">
        <w:rPr>
          <w:rFonts w:ascii="Calibri" w:eastAsia="Calibri" w:hAnsi="Calibri"/>
          <w:sz w:val="22"/>
          <w:szCs w:val="22"/>
          <w:lang w:val="en-GB"/>
        </w:rPr>
        <w:t>Doppler</w:t>
      </w:r>
      <w:r w:rsidRPr="00CD607B">
        <w:rPr>
          <w:rFonts w:ascii="Calibri" w:eastAsia="Calibri" w:hAnsi="Calibri"/>
          <w:sz w:val="22"/>
          <w:szCs w:val="22"/>
        </w:rPr>
        <w:t xml:space="preserve"> echocardiography results showed that ESPAP ranged from 20 to 50 mm Hg, with a mean of 35.80±7.489 mm Hg and a median of 35 mm Hg.</w:t>
      </w:r>
    </w:p>
    <w:p w:rsidR="00CD607B" w:rsidRPr="00CD607B" w:rsidRDefault="00CD607B" w:rsidP="00CD607B">
      <w:pPr>
        <w:bidi w:val="0"/>
        <w:jc w:val="both"/>
        <w:rPr>
          <w:rFonts w:ascii="Calibri" w:eastAsia="Calibri" w:hAnsi="Calibri"/>
          <w:sz w:val="22"/>
          <w:szCs w:val="22"/>
        </w:rPr>
      </w:pPr>
      <w:r w:rsidRPr="00CD607B">
        <w:rPr>
          <w:rFonts w:ascii="Calibri" w:eastAsia="Calibri" w:hAnsi="Calibri"/>
          <w:sz w:val="22"/>
          <w:szCs w:val="22"/>
        </w:rPr>
        <w:t xml:space="preserve">IL-1β +3954 polymorphism was successfully genotyped in all SCD patients and control groups and revealed the following distribution: CC genotype was found in 20 (40%) cases </w:t>
      </w:r>
      <w:r w:rsidRPr="00CD607B">
        <w:rPr>
          <w:rFonts w:ascii="Calibri" w:eastAsia="Calibri" w:hAnsi="Calibri"/>
          <w:i/>
          <w:sz w:val="22"/>
          <w:szCs w:val="22"/>
        </w:rPr>
        <w:t>vs.</w:t>
      </w:r>
      <w:r w:rsidRPr="00CD607B">
        <w:rPr>
          <w:rFonts w:ascii="Calibri" w:eastAsia="Calibri" w:hAnsi="Calibri"/>
          <w:sz w:val="22"/>
          <w:szCs w:val="22"/>
        </w:rPr>
        <w:t xml:space="preserve"> 18 (36%) in control group; the CT genotype was found in 17 (34%) cases </w:t>
      </w:r>
      <w:r w:rsidRPr="00CD607B">
        <w:rPr>
          <w:rFonts w:ascii="Calibri" w:eastAsia="Calibri" w:hAnsi="Calibri"/>
          <w:i/>
          <w:sz w:val="22"/>
          <w:szCs w:val="22"/>
        </w:rPr>
        <w:t>vs.</w:t>
      </w:r>
      <w:r w:rsidRPr="00CD607B">
        <w:rPr>
          <w:rFonts w:ascii="Calibri" w:eastAsia="Calibri" w:hAnsi="Calibri"/>
          <w:sz w:val="22"/>
          <w:szCs w:val="22"/>
        </w:rPr>
        <w:t xml:space="preserve"> 29 (58%) in control group and the homozygous mutant TT genotype was detected in 13 (26%) cases </w:t>
      </w:r>
      <w:r w:rsidRPr="00CD607B">
        <w:rPr>
          <w:rFonts w:ascii="Calibri" w:eastAsia="Calibri" w:hAnsi="Calibri"/>
          <w:i/>
          <w:sz w:val="22"/>
          <w:szCs w:val="22"/>
        </w:rPr>
        <w:t>vs.</w:t>
      </w:r>
      <w:r w:rsidRPr="00CD607B">
        <w:rPr>
          <w:rFonts w:ascii="Calibri" w:eastAsia="Calibri" w:hAnsi="Calibri"/>
          <w:sz w:val="22"/>
          <w:szCs w:val="22"/>
        </w:rPr>
        <w:t xml:space="preserve"> 3 (6%) in control group</w:t>
      </w:r>
      <w:r w:rsidRPr="00CD607B">
        <w:rPr>
          <w:rFonts w:ascii="Calibri" w:eastAsia="Calibri" w:hAnsi="Calibri"/>
          <w:bCs/>
          <w:sz w:val="22"/>
          <w:szCs w:val="22"/>
        </w:rPr>
        <w:t>.</w:t>
      </w:r>
      <w:r w:rsidRPr="00CD607B">
        <w:rPr>
          <w:rFonts w:ascii="Calibri" w:eastAsia="Calibri" w:hAnsi="Calibri"/>
          <w:sz w:val="22"/>
          <w:szCs w:val="22"/>
        </w:rPr>
        <w:t xml:space="preserve"> This genotype distribution yielded a statistically </w:t>
      </w:r>
      <w:r w:rsidRPr="00CD607B">
        <w:rPr>
          <w:rFonts w:ascii="Calibri" w:eastAsia="Calibri" w:hAnsi="Calibri"/>
          <w:sz w:val="22"/>
          <w:szCs w:val="22"/>
        </w:rPr>
        <w:lastRenderedPageBreak/>
        <w:t>significant difference between both groups (p=0.009) (Figure1), (Table 2).</w:t>
      </w:r>
    </w:p>
    <w:p w:rsidR="00CD607B" w:rsidRPr="00CD607B" w:rsidRDefault="00CD607B" w:rsidP="00CD607B">
      <w:pPr>
        <w:bidi w:val="0"/>
        <w:jc w:val="both"/>
        <w:rPr>
          <w:rFonts w:ascii="Calibri" w:eastAsia="Calibri" w:hAnsi="Calibri"/>
          <w:sz w:val="22"/>
          <w:szCs w:val="22"/>
        </w:rPr>
      </w:pPr>
    </w:p>
    <w:p w:rsidR="00CD607B" w:rsidRPr="00CD607B" w:rsidRDefault="00CD607B" w:rsidP="00CD607B">
      <w:pPr>
        <w:bidi w:val="0"/>
        <w:jc w:val="both"/>
        <w:rPr>
          <w:rFonts w:ascii="Calibri" w:eastAsia="Calibri" w:hAnsi="Calibri"/>
          <w:sz w:val="22"/>
          <w:szCs w:val="22"/>
        </w:rPr>
      </w:pPr>
      <w:r w:rsidRPr="00CD607B">
        <w:rPr>
          <w:rFonts w:ascii="Calibri" w:eastAsia="Calibri" w:hAnsi="Calibri"/>
          <w:noProof/>
          <w:sz w:val="22"/>
          <w:szCs w:val="22"/>
        </w:rPr>
        <w:drawing>
          <wp:inline distT="0" distB="0" distL="0" distR="0" wp14:anchorId="6392CA96" wp14:editId="1172CE89">
            <wp:extent cx="2965837" cy="1573158"/>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66442" cy="1573479"/>
                    </a:xfrm>
                    <a:prstGeom prst="rect">
                      <a:avLst/>
                    </a:prstGeom>
                    <a:noFill/>
                    <a:ln>
                      <a:noFill/>
                    </a:ln>
                  </pic:spPr>
                </pic:pic>
              </a:graphicData>
            </a:graphic>
          </wp:inline>
        </w:drawing>
      </w:r>
    </w:p>
    <w:p w:rsidR="00CD607B" w:rsidRPr="00CD7D9B" w:rsidRDefault="00CD607B" w:rsidP="00CD7D9B">
      <w:pPr>
        <w:pStyle w:val="Heading4"/>
        <w:jc w:val="center"/>
        <w:rPr>
          <w:rFonts w:eastAsia="Calibri"/>
          <w:b w:val="0"/>
        </w:rPr>
      </w:pPr>
      <w:r w:rsidRPr="00CD607B">
        <w:rPr>
          <w:rFonts w:eastAsia="Calibri"/>
          <w:bCs/>
        </w:rPr>
        <w:t xml:space="preserve">Figure 1: </w:t>
      </w:r>
      <w:r w:rsidRPr="00CD7D9B">
        <w:rPr>
          <w:rFonts w:eastAsia="Calibri"/>
          <w:b w:val="0"/>
        </w:rPr>
        <w:t>Agarose gel electrophoresis of IL-1 B genotypes: showing DNA marker ladder (M), Lanes1, 8: Wild homozygous CC genotype; lanes 3, 4, 5, 6, 7, 9, 10: Heterozygous C/T Genotype. Lane 2: Homozygous mutant T/T genotype</w:t>
      </w:r>
    </w:p>
    <w:p w:rsidR="00CD607B" w:rsidRPr="00CD607B" w:rsidRDefault="00CD607B" w:rsidP="00CD607B">
      <w:pPr>
        <w:bidi w:val="0"/>
        <w:jc w:val="both"/>
        <w:rPr>
          <w:rFonts w:ascii="Calibri" w:eastAsia="Calibri" w:hAnsi="Calibri"/>
          <w:sz w:val="22"/>
          <w:szCs w:val="22"/>
        </w:rPr>
      </w:pPr>
    </w:p>
    <w:p w:rsidR="00CD607B" w:rsidRPr="00CD607B" w:rsidRDefault="00CD607B" w:rsidP="00CD607B">
      <w:pPr>
        <w:bidi w:val="0"/>
        <w:jc w:val="both"/>
        <w:rPr>
          <w:rFonts w:ascii="Calibri" w:eastAsia="Calibri" w:hAnsi="Calibri"/>
          <w:sz w:val="22"/>
          <w:szCs w:val="22"/>
        </w:rPr>
      </w:pPr>
      <w:r w:rsidRPr="00CD607B">
        <w:rPr>
          <w:rFonts w:ascii="Calibri" w:eastAsia="Calibri" w:hAnsi="Calibri"/>
          <w:sz w:val="22"/>
          <w:szCs w:val="22"/>
        </w:rPr>
        <w:t xml:space="preserve">However, no significant difference of C/T allele distribution was detected between the two groups [p value: 0.246, OR was 1.4, (0.792 – 2.479)]. Moreover, there was no significant difference between the frequency of occurrence of CC genotype and the frequency of the combined genotypes TT and CT in cases and controls </w:t>
      </w:r>
      <w:r w:rsidRPr="00CD607B">
        <w:rPr>
          <w:rFonts w:ascii="Calibri" w:eastAsia="Calibri" w:hAnsi="Calibri"/>
          <w:b/>
          <w:bCs/>
          <w:sz w:val="22"/>
          <w:szCs w:val="22"/>
        </w:rPr>
        <w:t>[</w:t>
      </w:r>
      <w:r w:rsidRPr="00CD607B">
        <w:rPr>
          <w:rFonts w:ascii="Calibri" w:eastAsia="Calibri" w:hAnsi="Calibri"/>
          <w:sz w:val="22"/>
          <w:szCs w:val="22"/>
        </w:rPr>
        <w:t>(p value= 0.680), OR (95% CI) 0.844 (0.376 – 1.894)</w:t>
      </w:r>
      <w:r w:rsidRPr="00CD607B">
        <w:rPr>
          <w:rFonts w:ascii="Calibri" w:eastAsia="Calibri" w:hAnsi="Calibri"/>
          <w:b/>
          <w:bCs/>
          <w:sz w:val="22"/>
          <w:szCs w:val="22"/>
        </w:rPr>
        <w:t>]</w:t>
      </w:r>
      <w:r w:rsidRPr="00CD607B">
        <w:rPr>
          <w:rFonts w:ascii="Calibri" w:eastAsia="Calibri" w:hAnsi="Calibri"/>
          <w:sz w:val="22"/>
          <w:szCs w:val="22"/>
        </w:rPr>
        <w:t xml:space="preserve"> (Table 2).</w:t>
      </w:r>
    </w:p>
    <w:p w:rsidR="00CD607B" w:rsidRPr="00CD607B" w:rsidRDefault="00CD607B" w:rsidP="00CD607B">
      <w:pPr>
        <w:bidi w:val="0"/>
        <w:jc w:val="both"/>
        <w:rPr>
          <w:rFonts w:ascii="Calibri" w:eastAsia="Calibri" w:hAnsi="Calibri"/>
          <w:sz w:val="22"/>
          <w:szCs w:val="22"/>
        </w:rPr>
      </w:pPr>
      <w:r w:rsidRPr="00CD607B">
        <w:rPr>
          <w:rFonts w:ascii="Calibri" w:eastAsia="Calibri" w:hAnsi="Calibri"/>
          <w:sz w:val="22"/>
          <w:szCs w:val="22"/>
        </w:rPr>
        <w:t>Contrastingly, a highly significant difference in the frequency of occurrence of TT genotype versus the combined genotypes CC and CT in cases and controls was found [(p value= 0.006), OR (95% CI):  5.505 (1.460-20.756)</w:t>
      </w:r>
      <w:r w:rsidRPr="00CD607B">
        <w:rPr>
          <w:rFonts w:ascii="Calibri" w:eastAsia="Calibri" w:hAnsi="Calibri"/>
          <w:b/>
          <w:bCs/>
          <w:sz w:val="22"/>
          <w:szCs w:val="22"/>
        </w:rPr>
        <w:t>]</w:t>
      </w:r>
      <w:r w:rsidRPr="00CD607B">
        <w:rPr>
          <w:rFonts w:ascii="Calibri" w:eastAsia="Calibri" w:hAnsi="Calibri"/>
          <w:sz w:val="22"/>
          <w:szCs w:val="22"/>
        </w:rPr>
        <w:t xml:space="preserve"> i.e. the homozygous mutant genotype TT was more prevalent in cases compared to control group (Table 2).</w:t>
      </w:r>
    </w:p>
    <w:p w:rsidR="00AA4892" w:rsidRDefault="00AA4892" w:rsidP="00CD607B">
      <w:pPr>
        <w:bidi w:val="0"/>
        <w:jc w:val="both"/>
        <w:rPr>
          <w:rFonts w:ascii="Calibri" w:eastAsia="Calibri" w:hAnsi="Calibri"/>
          <w:sz w:val="22"/>
          <w:szCs w:val="22"/>
        </w:rPr>
        <w:sectPr w:rsidR="00AA4892" w:rsidSect="009210D8">
          <w:type w:val="continuous"/>
          <w:pgSz w:w="12240" w:h="15840"/>
          <w:pgMar w:top="1440" w:right="1080" w:bottom="1440" w:left="1080" w:header="432" w:footer="720" w:gutter="0"/>
          <w:pgNumType w:start="35"/>
          <w:cols w:num="2" w:space="720"/>
          <w:docGrid w:linePitch="360"/>
        </w:sectPr>
      </w:pPr>
    </w:p>
    <w:p w:rsidR="00CD607B" w:rsidRPr="00CD607B" w:rsidRDefault="00CD607B" w:rsidP="00CD607B">
      <w:pPr>
        <w:bidi w:val="0"/>
        <w:jc w:val="both"/>
        <w:rPr>
          <w:rFonts w:ascii="Calibri" w:eastAsia="Calibri" w:hAnsi="Calibri"/>
          <w:sz w:val="22"/>
          <w:szCs w:val="22"/>
        </w:rPr>
      </w:pPr>
    </w:p>
    <w:p w:rsidR="00CD607B" w:rsidRPr="00AA4892" w:rsidRDefault="00CD607B" w:rsidP="00AA4892">
      <w:pPr>
        <w:pStyle w:val="Heading4"/>
        <w:rPr>
          <w:rFonts w:eastAsia="Calibri"/>
          <w:b w:val="0"/>
          <w:bCs/>
          <w:iCs/>
        </w:rPr>
      </w:pPr>
      <w:r w:rsidRPr="00CD607B">
        <w:rPr>
          <w:rFonts w:eastAsia="Calibri"/>
        </w:rPr>
        <w:t xml:space="preserve">Table 2: </w:t>
      </w:r>
      <w:r w:rsidRPr="00AA4892">
        <w:rPr>
          <w:rFonts w:eastAsia="Calibri"/>
          <w:b w:val="0"/>
          <w:bCs/>
        </w:rPr>
        <w:t>IL-1β +3954 SNP Genotype and Allele Frequencies in Patients and Control groups</w:t>
      </w:r>
    </w:p>
    <w:tbl>
      <w:tblPr>
        <w:tblW w:w="5000" w:type="pct"/>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301"/>
        <w:gridCol w:w="2812"/>
        <w:gridCol w:w="1882"/>
        <w:gridCol w:w="1291"/>
        <w:gridCol w:w="2010"/>
      </w:tblGrid>
      <w:tr w:rsidR="00CD607B" w:rsidRPr="00AA4892" w:rsidTr="00AA4892">
        <w:trPr>
          <w:trHeight w:val="20"/>
          <w:jc w:val="center"/>
        </w:trPr>
        <w:tc>
          <w:tcPr>
            <w:tcW w:w="1117"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b/>
                <w:bCs/>
                <w:sz w:val="16"/>
                <w:szCs w:val="16"/>
              </w:rPr>
              <w:t xml:space="preserve">IL-1β +3954 SNP </w:t>
            </w:r>
          </w:p>
        </w:tc>
        <w:tc>
          <w:tcPr>
            <w:tcW w:w="1365"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Cases n (%) (n=50)</w:t>
            </w:r>
          </w:p>
        </w:tc>
        <w:tc>
          <w:tcPr>
            <w:tcW w:w="914"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Control n (%) (n=50)</w:t>
            </w:r>
          </w:p>
        </w:tc>
        <w:tc>
          <w:tcPr>
            <w:tcW w:w="627"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p-value</w:t>
            </w:r>
          </w:p>
        </w:tc>
        <w:tc>
          <w:tcPr>
            <w:tcW w:w="976"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OR (95% CI)</w:t>
            </w:r>
          </w:p>
        </w:tc>
      </w:tr>
      <w:tr w:rsidR="00CD607B" w:rsidRPr="00AA4892" w:rsidTr="00AA4892">
        <w:trPr>
          <w:trHeight w:val="20"/>
          <w:jc w:val="center"/>
        </w:trPr>
        <w:tc>
          <w:tcPr>
            <w:tcW w:w="1117"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CC (wild)</w:t>
            </w:r>
          </w:p>
        </w:tc>
        <w:tc>
          <w:tcPr>
            <w:tcW w:w="1365"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20 (40%)</w:t>
            </w:r>
          </w:p>
        </w:tc>
        <w:tc>
          <w:tcPr>
            <w:tcW w:w="914"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18 (36%)</w:t>
            </w:r>
          </w:p>
        </w:tc>
        <w:tc>
          <w:tcPr>
            <w:tcW w:w="627" w:type="pct"/>
            <w:vMerge w:val="restart"/>
            <w:tcBorders>
              <w:top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*0.009</w:t>
            </w:r>
          </w:p>
        </w:tc>
        <w:tc>
          <w:tcPr>
            <w:tcW w:w="976" w:type="pct"/>
            <w:vMerge w:val="restar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p>
        </w:tc>
      </w:tr>
      <w:tr w:rsidR="00CD607B" w:rsidRPr="00AA4892" w:rsidTr="00AA4892">
        <w:trPr>
          <w:trHeight w:val="20"/>
          <w:jc w:val="center"/>
        </w:trPr>
        <w:tc>
          <w:tcPr>
            <w:tcW w:w="1117"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CT (heterozygote)</w:t>
            </w:r>
          </w:p>
        </w:tc>
        <w:tc>
          <w:tcPr>
            <w:tcW w:w="1365"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17 (34%)</w:t>
            </w:r>
          </w:p>
        </w:tc>
        <w:tc>
          <w:tcPr>
            <w:tcW w:w="914"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29 (58%)</w:t>
            </w:r>
          </w:p>
        </w:tc>
        <w:tc>
          <w:tcPr>
            <w:tcW w:w="627" w:type="pct"/>
            <w:vMerge/>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sz w:val="16"/>
                <w:szCs w:val="16"/>
              </w:rPr>
            </w:pPr>
          </w:p>
        </w:tc>
        <w:tc>
          <w:tcPr>
            <w:tcW w:w="976" w:type="pct"/>
            <w:vMerge/>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p>
        </w:tc>
      </w:tr>
      <w:tr w:rsidR="00CD607B" w:rsidRPr="00AA4892" w:rsidTr="00AA4892">
        <w:trPr>
          <w:trHeight w:val="20"/>
          <w:jc w:val="center"/>
        </w:trPr>
        <w:tc>
          <w:tcPr>
            <w:tcW w:w="1117"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TT (mutant)</w:t>
            </w:r>
          </w:p>
        </w:tc>
        <w:tc>
          <w:tcPr>
            <w:tcW w:w="1365"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13 (26%)</w:t>
            </w:r>
          </w:p>
        </w:tc>
        <w:tc>
          <w:tcPr>
            <w:tcW w:w="914"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3 (6%)</w:t>
            </w:r>
          </w:p>
        </w:tc>
        <w:tc>
          <w:tcPr>
            <w:tcW w:w="627" w:type="pct"/>
            <w:vMerge/>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sz w:val="16"/>
                <w:szCs w:val="16"/>
              </w:rPr>
            </w:pPr>
          </w:p>
        </w:tc>
        <w:tc>
          <w:tcPr>
            <w:tcW w:w="976" w:type="pct"/>
            <w:vMerge/>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p>
        </w:tc>
      </w:tr>
      <w:tr w:rsidR="00CD607B" w:rsidRPr="00AA4892" w:rsidTr="00AA4892">
        <w:trPr>
          <w:trHeight w:val="20"/>
          <w:jc w:val="center"/>
        </w:trPr>
        <w:tc>
          <w:tcPr>
            <w:tcW w:w="1117"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C/T</w:t>
            </w:r>
          </w:p>
        </w:tc>
        <w:tc>
          <w:tcPr>
            <w:tcW w:w="1365"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57 (57%)/43 (43%)</w:t>
            </w:r>
          </w:p>
        </w:tc>
        <w:tc>
          <w:tcPr>
            <w:tcW w:w="914"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65 (65%)/35 (35%)</w:t>
            </w:r>
          </w:p>
        </w:tc>
        <w:tc>
          <w:tcPr>
            <w:tcW w:w="627" w:type="pct"/>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0.246</w:t>
            </w:r>
          </w:p>
        </w:tc>
        <w:tc>
          <w:tcPr>
            <w:tcW w:w="976"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1.4 (0.792– 2.479).</w:t>
            </w:r>
          </w:p>
        </w:tc>
      </w:tr>
      <w:tr w:rsidR="00CD607B" w:rsidRPr="00AA4892" w:rsidTr="00AA4892">
        <w:trPr>
          <w:trHeight w:val="20"/>
          <w:jc w:val="center"/>
        </w:trPr>
        <w:tc>
          <w:tcPr>
            <w:tcW w:w="1117"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CC vs. TT+CT</w:t>
            </w:r>
          </w:p>
        </w:tc>
        <w:tc>
          <w:tcPr>
            <w:tcW w:w="1365"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20(40%)/30(48.4%)</w:t>
            </w:r>
          </w:p>
        </w:tc>
        <w:tc>
          <w:tcPr>
            <w:tcW w:w="914"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18(36%)/32 (64%)</w:t>
            </w:r>
          </w:p>
        </w:tc>
        <w:tc>
          <w:tcPr>
            <w:tcW w:w="627" w:type="pct"/>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0.680</w:t>
            </w:r>
          </w:p>
        </w:tc>
        <w:tc>
          <w:tcPr>
            <w:tcW w:w="976"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0.844(0.376- 1.894)</w:t>
            </w:r>
          </w:p>
        </w:tc>
      </w:tr>
      <w:tr w:rsidR="00CD607B" w:rsidRPr="00AA4892" w:rsidTr="00AA4892">
        <w:trPr>
          <w:trHeight w:val="20"/>
          <w:jc w:val="center"/>
        </w:trPr>
        <w:tc>
          <w:tcPr>
            <w:tcW w:w="1117"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b/>
                <w:sz w:val="16"/>
                <w:szCs w:val="16"/>
              </w:rPr>
            </w:pPr>
            <w:r w:rsidRPr="00AA4892">
              <w:rPr>
                <w:rFonts w:ascii="Calibri" w:eastAsia="Calibri" w:hAnsi="Calibri"/>
                <w:b/>
                <w:sz w:val="16"/>
                <w:szCs w:val="16"/>
              </w:rPr>
              <w:t>TT vs. CC+CT</w:t>
            </w:r>
          </w:p>
        </w:tc>
        <w:tc>
          <w:tcPr>
            <w:tcW w:w="1365"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13(26%) /37 (74%)</w:t>
            </w:r>
          </w:p>
        </w:tc>
        <w:tc>
          <w:tcPr>
            <w:tcW w:w="914"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 xml:space="preserve"> 3(6%) /47 (94%)</w:t>
            </w:r>
          </w:p>
        </w:tc>
        <w:tc>
          <w:tcPr>
            <w:tcW w:w="627" w:type="pct"/>
            <w:shd w:val="clear" w:color="auto" w:fill="auto"/>
            <w:tcMar>
              <w:top w:w="0" w:type="dxa"/>
              <w:left w:w="108" w:type="dxa"/>
              <w:bottom w:w="0" w:type="dxa"/>
              <w:right w:w="108" w:type="dxa"/>
            </w:tcMar>
            <w:vAlign w:val="cente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*0.006</w:t>
            </w:r>
          </w:p>
        </w:tc>
        <w:tc>
          <w:tcPr>
            <w:tcW w:w="976" w:type="pct"/>
            <w:shd w:val="clear" w:color="auto" w:fill="auto"/>
            <w:tcMar>
              <w:top w:w="0" w:type="dxa"/>
              <w:left w:w="108" w:type="dxa"/>
              <w:bottom w:w="0" w:type="dxa"/>
              <w:right w:w="108" w:type="dxa"/>
            </w:tcMar>
          </w:tcPr>
          <w:p w:rsidR="00CD607B" w:rsidRPr="00AA4892" w:rsidRDefault="00CD607B" w:rsidP="00AA4892">
            <w:pPr>
              <w:bidi w:val="0"/>
              <w:spacing w:line="360" w:lineRule="auto"/>
              <w:jc w:val="both"/>
              <w:rPr>
                <w:rFonts w:ascii="Calibri" w:eastAsia="Calibri" w:hAnsi="Calibri"/>
                <w:sz w:val="16"/>
                <w:szCs w:val="16"/>
              </w:rPr>
            </w:pPr>
            <w:r w:rsidRPr="00AA4892">
              <w:rPr>
                <w:rFonts w:ascii="Calibri" w:eastAsia="Calibri" w:hAnsi="Calibri"/>
                <w:sz w:val="16"/>
                <w:szCs w:val="16"/>
              </w:rPr>
              <w:t>5.505(1.460-20.756)</w:t>
            </w:r>
          </w:p>
        </w:tc>
      </w:tr>
    </w:tbl>
    <w:p w:rsidR="00CD607B" w:rsidRDefault="00CD607B" w:rsidP="00AA4892">
      <w:pPr>
        <w:pStyle w:val="Heading4"/>
        <w:rPr>
          <w:rFonts w:eastAsia="Calibri"/>
          <w:b w:val="0"/>
          <w:bCs/>
        </w:rPr>
      </w:pPr>
      <w:r w:rsidRPr="00AA4892">
        <w:rPr>
          <w:rFonts w:eastAsia="Calibri"/>
          <w:b w:val="0"/>
          <w:bCs/>
        </w:rPr>
        <w:t>*p&lt;0.05 is considered statistically significant.</w:t>
      </w:r>
    </w:p>
    <w:p w:rsidR="00E37496" w:rsidRPr="00E37496" w:rsidRDefault="00E37496" w:rsidP="00E37496">
      <w:pPr>
        <w:rPr>
          <w:rFonts w:eastAsia="Calibri"/>
        </w:rPr>
      </w:pPr>
    </w:p>
    <w:p w:rsidR="00796D9F" w:rsidRPr="00CD607B" w:rsidRDefault="00796D9F" w:rsidP="00796D9F">
      <w:pPr>
        <w:bidi w:val="0"/>
        <w:jc w:val="both"/>
        <w:rPr>
          <w:rFonts w:ascii="Calibri" w:eastAsia="Calibri" w:hAnsi="Calibri"/>
          <w:sz w:val="22"/>
          <w:szCs w:val="22"/>
        </w:rPr>
      </w:pPr>
      <w:r w:rsidRPr="00CD607B">
        <w:rPr>
          <w:rFonts w:ascii="Calibri" w:eastAsia="Calibri" w:hAnsi="Calibri"/>
          <w:sz w:val="22"/>
          <w:szCs w:val="22"/>
        </w:rPr>
        <w:t>No association was found between IL-1β +3954 genotypes and age (p = 0.087), age at diagnosis (P =0.125), age at first blood transfusion (p =0.318), number of transfusions (P = 0.572), weight (P =0.228) or height (P=0.445) (Table 3).</w:t>
      </w:r>
    </w:p>
    <w:p w:rsidR="00AA4892" w:rsidRDefault="00AA4892" w:rsidP="00AA4892">
      <w:pPr>
        <w:pStyle w:val="Heading4"/>
        <w:rPr>
          <w:rFonts w:eastAsia="Calibri"/>
        </w:rPr>
      </w:pPr>
    </w:p>
    <w:p w:rsidR="00AA4892" w:rsidRDefault="00AA4892" w:rsidP="00AA4892">
      <w:pPr>
        <w:pStyle w:val="Heading4"/>
        <w:rPr>
          <w:rFonts w:eastAsia="Calibri"/>
        </w:rPr>
      </w:pPr>
    </w:p>
    <w:p w:rsidR="00AA4892" w:rsidRPr="00681A46" w:rsidRDefault="00AA4892" w:rsidP="00AA4892">
      <w:pPr>
        <w:pStyle w:val="Heading4"/>
        <w:rPr>
          <w:rFonts w:eastAsia="Calibri"/>
          <w:b w:val="0"/>
          <w:bCs/>
        </w:rPr>
      </w:pPr>
      <w:r w:rsidRPr="00CD607B">
        <w:rPr>
          <w:rFonts w:eastAsia="Calibri"/>
        </w:rPr>
        <w:lastRenderedPageBreak/>
        <w:t xml:space="preserve">Table 3: </w:t>
      </w:r>
      <w:r w:rsidRPr="00681A46">
        <w:rPr>
          <w:rFonts w:eastAsia="Calibri"/>
          <w:b w:val="0"/>
          <w:bCs/>
        </w:rPr>
        <w:t>Association between IL-1β +3954 Genotypes and the Demographic Data</w:t>
      </w:r>
    </w:p>
    <w:tbl>
      <w:tblPr>
        <w:tblW w:w="5000" w:type="pct"/>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3626"/>
        <w:gridCol w:w="1810"/>
        <w:gridCol w:w="1810"/>
        <w:gridCol w:w="2002"/>
        <w:gridCol w:w="1048"/>
      </w:tblGrid>
      <w:tr w:rsidR="00AA4892" w:rsidRPr="00AA4892" w:rsidTr="00AA4892">
        <w:trPr>
          <w:trHeight w:val="20"/>
        </w:trPr>
        <w:tc>
          <w:tcPr>
            <w:tcW w:w="1761" w:type="pct"/>
            <w:tcBorders>
              <w:top w:val="single" w:sz="4" w:space="0" w:color="auto"/>
              <w:bottom w:val="nil"/>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p>
        </w:tc>
        <w:tc>
          <w:tcPr>
            <w:tcW w:w="2730" w:type="pct"/>
            <w:gridSpan w:val="3"/>
            <w:tcBorders>
              <w:top w:val="single" w:sz="4" w:space="0" w:color="auto"/>
              <w:bottom w:val="nil"/>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r w:rsidRPr="00AA4892">
              <w:rPr>
                <w:rFonts w:eastAsia="Calibri"/>
              </w:rPr>
              <w:t xml:space="preserve"> IL-1β +3954 genotypes</w:t>
            </w:r>
          </w:p>
        </w:tc>
        <w:tc>
          <w:tcPr>
            <w:tcW w:w="509" w:type="pct"/>
            <w:tcBorders>
              <w:top w:val="single" w:sz="4" w:space="0" w:color="auto"/>
              <w:bottom w:val="nil"/>
            </w:tcBorders>
            <w:shd w:val="clear" w:color="auto" w:fill="auto"/>
            <w:tcMar>
              <w:top w:w="0" w:type="dxa"/>
              <w:left w:w="108" w:type="dxa"/>
              <w:bottom w:w="0" w:type="dxa"/>
              <w:right w:w="108" w:type="dxa"/>
            </w:tcMar>
          </w:tcPr>
          <w:p w:rsidR="00AA4892" w:rsidRPr="00AA4892" w:rsidRDefault="00681A46" w:rsidP="00AA4892">
            <w:pPr>
              <w:pStyle w:val="Heading4"/>
              <w:rPr>
                <w:rFonts w:eastAsia="Calibri"/>
              </w:rPr>
            </w:pPr>
            <w:r w:rsidRPr="00AA4892">
              <w:rPr>
                <w:rFonts w:eastAsia="Calibri"/>
              </w:rPr>
              <w:t>P-value</w:t>
            </w:r>
          </w:p>
        </w:tc>
      </w:tr>
      <w:tr w:rsidR="00AA4892" w:rsidRPr="00AA4892" w:rsidTr="00AA4892">
        <w:trPr>
          <w:trHeight w:val="20"/>
        </w:trPr>
        <w:tc>
          <w:tcPr>
            <w:tcW w:w="1761" w:type="pct"/>
            <w:tcBorders>
              <w:top w:val="nil"/>
              <w:bottom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p>
        </w:tc>
        <w:tc>
          <w:tcPr>
            <w:tcW w:w="879" w:type="pct"/>
            <w:tcBorders>
              <w:top w:val="nil"/>
              <w:bottom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r w:rsidRPr="00AA4892">
              <w:rPr>
                <w:rFonts w:eastAsia="Calibri"/>
              </w:rPr>
              <w:t>CC (n=20)</w:t>
            </w:r>
          </w:p>
        </w:tc>
        <w:tc>
          <w:tcPr>
            <w:tcW w:w="879" w:type="pct"/>
            <w:tcBorders>
              <w:top w:val="nil"/>
              <w:bottom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r w:rsidRPr="00AA4892">
              <w:rPr>
                <w:rFonts w:eastAsia="Calibri"/>
              </w:rPr>
              <w:t>CT (n=17)</w:t>
            </w:r>
          </w:p>
        </w:tc>
        <w:tc>
          <w:tcPr>
            <w:tcW w:w="972" w:type="pct"/>
            <w:tcBorders>
              <w:top w:val="nil"/>
              <w:bottom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r w:rsidRPr="00AA4892">
              <w:rPr>
                <w:rFonts w:eastAsia="Calibri"/>
              </w:rPr>
              <w:t>TT (n=13)</w:t>
            </w:r>
          </w:p>
        </w:tc>
        <w:tc>
          <w:tcPr>
            <w:tcW w:w="509" w:type="pct"/>
            <w:tcBorders>
              <w:top w:val="nil"/>
              <w:bottom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rPr>
            </w:pPr>
          </w:p>
        </w:tc>
      </w:tr>
      <w:tr w:rsidR="00AA4892" w:rsidRPr="00AA4892" w:rsidTr="00AA4892">
        <w:trPr>
          <w:trHeight w:val="20"/>
        </w:trPr>
        <w:tc>
          <w:tcPr>
            <w:tcW w:w="1761" w:type="pct"/>
            <w:tcBorders>
              <w:top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Age (mean ± SD) (years)</w:t>
            </w:r>
          </w:p>
        </w:tc>
        <w:tc>
          <w:tcPr>
            <w:tcW w:w="879" w:type="pct"/>
            <w:tcBorders>
              <w:top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14.05 (± 5.1)</w:t>
            </w:r>
          </w:p>
        </w:tc>
        <w:tc>
          <w:tcPr>
            <w:tcW w:w="879" w:type="pct"/>
            <w:tcBorders>
              <w:top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10.12 (± 5.9)</w:t>
            </w:r>
          </w:p>
        </w:tc>
        <w:tc>
          <w:tcPr>
            <w:tcW w:w="972" w:type="pct"/>
            <w:tcBorders>
              <w:top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12.23 (± 5.0)</w:t>
            </w:r>
          </w:p>
        </w:tc>
        <w:tc>
          <w:tcPr>
            <w:tcW w:w="509" w:type="pct"/>
            <w:tcBorders>
              <w:top w:val="single" w:sz="4" w:space="0" w:color="auto"/>
            </w:tcBorders>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0.087</w:t>
            </w:r>
          </w:p>
        </w:tc>
      </w:tr>
      <w:tr w:rsidR="00AA4892" w:rsidRPr="00AA4892" w:rsidTr="00AA4892">
        <w:trPr>
          <w:trHeight w:val="20"/>
        </w:trPr>
        <w:tc>
          <w:tcPr>
            <w:tcW w:w="1761"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Age at onset (mean ± SD) (years)</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2.53(±0.835)</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2.06(±0.65)</w:t>
            </w:r>
          </w:p>
        </w:tc>
        <w:tc>
          <w:tcPr>
            <w:tcW w:w="972"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3.69 (± 2.39)</w:t>
            </w:r>
          </w:p>
        </w:tc>
        <w:tc>
          <w:tcPr>
            <w:tcW w:w="50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0.125</w:t>
            </w:r>
          </w:p>
        </w:tc>
      </w:tr>
      <w:tr w:rsidR="00AA4892" w:rsidRPr="00AA4892" w:rsidTr="00AA4892">
        <w:trPr>
          <w:trHeight w:val="20"/>
        </w:trPr>
        <w:tc>
          <w:tcPr>
            <w:tcW w:w="1761"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Age at 1</w:t>
            </w:r>
            <w:r w:rsidRPr="00AA4892">
              <w:rPr>
                <w:rFonts w:eastAsia="Calibri"/>
                <w:b w:val="0"/>
                <w:bCs/>
                <w:vertAlign w:val="superscript"/>
              </w:rPr>
              <w:t>st</w:t>
            </w:r>
            <w:r w:rsidRPr="00AA4892">
              <w:rPr>
                <w:rFonts w:eastAsia="Calibri"/>
                <w:b w:val="0"/>
                <w:bCs/>
              </w:rPr>
              <w:t xml:space="preserve"> blood transfusion (mean ± SD) (years)</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3.28 (± 1.16)</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3.00 (± 2.47)</w:t>
            </w:r>
          </w:p>
        </w:tc>
        <w:tc>
          <w:tcPr>
            <w:tcW w:w="972"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4.00 (±3.53)</w:t>
            </w:r>
          </w:p>
        </w:tc>
        <w:tc>
          <w:tcPr>
            <w:tcW w:w="50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0.318</w:t>
            </w:r>
          </w:p>
        </w:tc>
      </w:tr>
      <w:tr w:rsidR="00AA4892" w:rsidRPr="00AA4892" w:rsidTr="00AA4892">
        <w:trPr>
          <w:trHeight w:val="20"/>
        </w:trPr>
        <w:tc>
          <w:tcPr>
            <w:tcW w:w="1761"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Number of transfusions (mean ± SD) (times)</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13.05 (± 5.68)</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11.12 (± 9.77)</w:t>
            </w:r>
          </w:p>
        </w:tc>
        <w:tc>
          <w:tcPr>
            <w:tcW w:w="972"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11.62 (± 9.63)</w:t>
            </w:r>
          </w:p>
        </w:tc>
        <w:tc>
          <w:tcPr>
            <w:tcW w:w="50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0.572</w:t>
            </w:r>
          </w:p>
        </w:tc>
      </w:tr>
      <w:tr w:rsidR="00AA4892" w:rsidRPr="00AA4892" w:rsidTr="00AA4892">
        <w:trPr>
          <w:trHeight w:val="20"/>
        </w:trPr>
        <w:tc>
          <w:tcPr>
            <w:tcW w:w="1761"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Weight (mean ± SD) (kg)</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38.45 (± 16.05)</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29.62 (± 13.73)</w:t>
            </w:r>
          </w:p>
        </w:tc>
        <w:tc>
          <w:tcPr>
            <w:tcW w:w="972" w:type="pct"/>
            <w:shd w:val="clear" w:color="auto" w:fill="auto"/>
            <w:tcMar>
              <w:top w:w="0" w:type="dxa"/>
              <w:left w:w="108" w:type="dxa"/>
              <w:bottom w:w="0" w:type="dxa"/>
              <w:right w:w="108" w:type="dxa"/>
            </w:tcMar>
          </w:tcPr>
          <w:p w:rsidR="00AA4892" w:rsidRPr="00AA4892" w:rsidRDefault="00681A46" w:rsidP="00AA4892">
            <w:pPr>
              <w:pStyle w:val="Heading4"/>
              <w:rPr>
                <w:rFonts w:eastAsia="Calibri"/>
                <w:b w:val="0"/>
                <w:bCs/>
              </w:rPr>
            </w:pPr>
            <w:r w:rsidRPr="00AA4892">
              <w:rPr>
                <w:rFonts w:eastAsia="Calibri"/>
                <w:b w:val="0"/>
                <w:bCs/>
              </w:rPr>
              <w:t>36.54 (</w:t>
            </w:r>
            <w:r w:rsidR="00AA4892" w:rsidRPr="00AA4892">
              <w:rPr>
                <w:rFonts w:eastAsia="Calibri"/>
                <w:b w:val="0"/>
                <w:bCs/>
              </w:rPr>
              <w:t>±15.70)</w:t>
            </w:r>
          </w:p>
        </w:tc>
        <w:tc>
          <w:tcPr>
            <w:tcW w:w="50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0.228</w:t>
            </w:r>
          </w:p>
        </w:tc>
      </w:tr>
      <w:tr w:rsidR="00AA4892" w:rsidRPr="00AA4892" w:rsidTr="00AA4892">
        <w:trPr>
          <w:trHeight w:val="20"/>
        </w:trPr>
        <w:tc>
          <w:tcPr>
            <w:tcW w:w="1761"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Height (mean ± SD) (cm)</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139.64 (± 22.24)</w:t>
            </w:r>
          </w:p>
        </w:tc>
        <w:tc>
          <w:tcPr>
            <w:tcW w:w="87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125.53 (± 34.34)</w:t>
            </w:r>
          </w:p>
        </w:tc>
        <w:tc>
          <w:tcPr>
            <w:tcW w:w="972"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137.23 (± 30.150)</w:t>
            </w:r>
          </w:p>
        </w:tc>
        <w:tc>
          <w:tcPr>
            <w:tcW w:w="509" w:type="pct"/>
            <w:shd w:val="clear" w:color="auto" w:fill="auto"/>
            <w:tcMar>
              <w:top w:w="0" w:type="dxa"/>
              <w:left w:w="108" w:type="dxa"/>
              <w:bottom w:w="0" w:type="dxa"/>
              <w:right w:w="108" w:type="dxa"/>
            </w:tcMar>
          </w:tcPr>
          <w:p w:rsidR="00AA4892" w:rsidRPr="00AA4892" w:rsidRDefault="00AA4892" w:rsidP="00AA4892">
            <w:pPr>
              <w:pStyle w:val="Heading4"/>
              <w:rPr>
                <w:rFonts w:eastAsia="Calibri"/>
                <w:b w:val="0"/>
                <w:bCs/>
              </w:rPr>
            </w:pPr>
            <w:r w:rsidRPr="00AA4892">
              <w:rPr>
                <w:rFonts w:eastAsia="Calibri"/>
                <w:b w:val="0"/>
                <w:bCs/>
              </w:rPr>
              <w:t>0.445</w:t>
            </w:r>
          </w:p>
        </w:tc>
      </w:tr>
    </w:tbl>
    <w:p w:rsidR="00AA4892" w:rsidRPr="00CD607B" w:rsidRDefault="00AA4892" w:rsidP="00AA4892">
      <w:pPr>
        <w:bidi w:val="0"/>
        <w:jc w:val="both"/>
        <w:rPr>
          <w:rFonts w:ascii="Calibri" w:eastAsia="Calibri" w:hAnsi="Calibri"/>
          <w:sz w:val="22"/>
          <w:szCs w:val="22"/>
        </w:rPr>
      </w:pPr>
      <w:r w:rsidRPr="00CD607B">
        <w:rPr>
          <w:rFonts w:ascii="Calibri" w:eastAsia="Calibri" w:hAnsi="Calibri"/>
          <w:sz w:val="22"/>
          <w:szCs w:val="22"/>
        </w:rPr>
        <w:t xml:space="preserve">*p&lt;0.05 is considered statistically significant. </w:t>
      </w:r>
    </w:p>
    <w:p w:rsidR="00AA4892" w:rsidRDefault="00AA4892" w:rsidP="00CD607B">
      <w:pPr>
        <w:bidi w:val="0"/>
        <w:jc w:val="both"/>
        <w:rPr>
          <w:rFonts w:ascii="Calibri" w:eastAsia="Calibri" w:hAnsi="Calibri"/>
          <w:b/>
          <w:bCs/>
          <w:iCs/>
          <w:sz w:val="22"/>
          <w:szCs w:val="22"/>
        </w:rPr>
        <w:sectPr w:rsidR="00AA4892" w:rsidSect="009210D8">
          <w:type w:val="continuous"/>
          <w:pgSz w:w="12240" w:h="15840"/>
          <w:pgMar w:top="1440" w:right="1080" w:bottom="1440" w:left="1080" w:header="432" w:footer="720" w:gutter="0"/>
          <w:pgNumType w:start="38"/>
          <w:cols w:space="720"/>
          <w:docGrid w:linePitch="360"/>
        </w:sectPr>
      </w:pPr>
    </w:p>
    <w:p w:rsidR="002E115C" w:rsidRDefault="002E115C" w:rsidP="00AA4892">
      <w:pPr>
        <w:bidi w:val="0"/>
        <w:jc w:val="both"/>
        <w:rPr>
          <w:rFonts w:ascii="Calibri" w:eastAsia="Calibri" w:hAnsi="Calibri"/>
          <w:sz w:val="22"/>
          <w:szCs w:val="22"/>
        </w:rPr>
      </w:pPr>
    </w:p>
    <w:p w:rsidR="00CD607B" w:rsidRPr="00CD607B" w:rsidRDefault="00CD607B" w:rsidP="002E115C">
      <w:pPr>
        <w:bidi w:val="0"/>
        <w:jc w:val="both"/>
        <w:rPr>
          <w:rFonts w:ascii="Calibri" w:eastAsia="Calibri" w:hAnsi="Calibri"/>
          <w:b/>
          <w:sz w:val="22"/>
          <w:szCs w:val="22"/>
        </w:rPr>
      </w:pPr>
      <w:r w:rsidRPr="00CD607B">
        <w:rPr>
          <w:rFonts w:ascii="Calibri" w:eastAsia="Calibri" w:hAnsi="Calibri"/>
          <w:sz w:val="22"/>
          <w:szCs w:val="22"/>
        </w:rPr>
        <w:t xml:space="preserve">No significant association was found between IL-1β +3954 genotypes distribution and VOC (p= 0.321), </w:t>
      </w:r>
      <w:proofErr w:type="spellStart"/>
      <w:r w:rsidRPr="00CD607B">
        <w:rPr>
          <w:rFonts w:ascii="Calibri" w:eastAsia="Calibri" w:hAnsi="Calibri"/>
          <w:sz w:val="22"/>
          <w:szCs w:val="22"/>
        </w:rPr>
        <w:t>cholelithiasis</w:t>
      </w:r>
      <w:proofErr w:type="spellEnd"/>
      <w:r w:rsidRPr="00CD607B">
        <w:rPr>
          <w:rFonts w:ascii="Calibri" w:eastAsia="Calibri" w:hAnsi="Calibri"/>
          <w:sz w:val="22"/>
          <w:szCs w:val="22"/>
        </w:rPr>
        <w:t xml:space="preserve"> (p= 0.557), or osteonecrosis (Table 4). </w:t>
      </w:r>
    </w:p>
    <w:p w:rsidR="00AA4892" w:rsidRDefault="00AA4892" w:rsidP="00CD607B">
      <w:pPr>
        <w:bidi w:val="0"/>
        <w:jc w:val="both"/>
        <w:rPr>
          <w:rFonts w:ascii="Calibri" w:eastAsia="Calibri" w:hAnsi="Calibri"/>
          <w:b/>
          <w:sz w:val="22"/>
          <w:szCs w:val="22"/>
        </w:rPr>
        <w:sectPr w:rsidR="00AA4892" w:rsidSect="00AA4892">
          <w:type w:val="continuous"/>
          <w:pgSz w:w="12240" w:h="15840"/>
          <w:pgMar w:top="1440" w:right="1080" w:bottom="1440" w:left="1080" w:header="432" w:footer="720" w:gutter="0"/>
          <w:pgNumType w:start="297"/>
          <w:cols w:space="720"/>
          <w:docGrid w:linePitch="360"/>
        </w:sectPr>
      </w:pPr>
    </w:p>
    <w:p w:rsidR="00AA4892" w:rsidRDefault="00AA4892" w:rsidP="00AA4892">
      <w:pPr>
        <w:pStyle w:val="Heading4"/>
        <w:rPr>
          <w:rFonts w:eastAsia="Calibri"/>
        </w:rPr>
      </w:pPr>
    </w:p>
    <w:p w:rsidR="00CD607B" w:rsidRPr="00AA4892" w:rsidRDefault="00CD607B" w:rsidP="00AA4892">
      <w:pPr>
        <w:pStyle w:val="Heading4"/>
        <w:rPr>
          <w:rFonts w:eastAsia="Calibri"/>
          <w:b w:val="0"/>
          <w:bCs/>
          <w:i/>
          <w:iCs/>
        </w:rPr>
      </w:pPr>
      <w:r w:rsidRPr="00AA4892">
        <w:rPr>
          <w:rFonts w:eastAsia="Calibri"/>
        </w:rPr>
        <w:t>Table 4:</w:t>
      </w:r>
      <w:r w:rsidRPr="00AA4892">
        <w:rPr>
          <w:rFonts w:eastAsia="Calibri"/>
          <w:b w:val="0"/>
          <w:bCs/>
        </w:rPr>
        <w:t xml:space="preserve"> </w:t>
      </w:r>
      <w:proofErr w:type="spellStart"/>
      <w:r w:rsidRPr="00AA4892">
        <w:rPr>
          <w:rFonts w:eastAsia="Calibri"/>
          <w:b w:val="0"/>
          <w:bCs/>
        </w:rPr>
        <w:t>Cholelithiasis</w:t>
      </w:r>
      <w:proofErr w:type="spellEnd"/>
      <w:r w:rsidRPr="00AA4892">
        <w:rPr>
          <w:rFonts w:eastAsia="Calibri"/>
          <w:b w:val="0"/>
          <w:bCs/>
        </w:rPr>
        <w:t xml:space="preserve">, VOC and Osteonecrosis </w:t>
      </w:r>
      <w:r w:rsidRPr="00AA4892">
        <w:rPr>
          <w:rFonts w:eastAsia="Calibri"/>
          <w:b w:val="0"/>
          <w:bCs/>
          <w:iCs/>
        </w:rPr>
        <w:t xml:space="preserve">in SCD patients with different </w:t>
      </w:r>
      <w:r w:rsidRPr="00AA4892">
        <w:rPr>
          <w:rFonts w:eastAsia="Calibri"/>
          <w:b w:val="0"/>
          <w:bCs/>
        </w:rPr>
        <w:t xml:space="preserve">IL-1β +3954 </w:t>
      </w:r>
      <w:r w:rsidRPr="00AA4892">
        <w:rPr>
          <w:rFonts w:eastAsia="Calibri"/>
          <w:b w:val="0"/>
          <w:bCs/>
          <w:iCs/>
        </w:rPr>
        <w:t xml:space="preserve">Polymorphism Genotypes </w:t>
      </w:r>
    </w:p>
    <w:tbl>
      <w:tblPr>
        <w:tblW w:w="5000" w:type="pct"/>
        <w:jc w:val="center"/>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450"/>
        <w:gridCol w:w="3534"/>
        <w:gridCol w:w="1874"/>
        <w:gridCol w:w="2438"/>
      </w:tblGrid>
      <w:tr w:rsidR="00CD607B" w:rsidRPr="00AA4892" w:rsidTr="00AA4892">
        <w:trPr>
          <w:jc w:val="center"/>
        </w:trPr>
        <w:tc>
          <w:tcPr>
            <w:tcW w:w="1190"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rPr>
            </w:pPr>
          </w:p>
        </w:tc>
        <w:tc>
          <w:tcPr>
            <w:tcW w:w="1716"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rPr>
            </w:pPr>
            <w:r w:rsidRPr="00AA4892">
              <w:rPr>
                <w:rFonts w:eastAsia="Calibri"/>
              </w:rPr>
              <w:t>Genotype</w:t>
            </w:r>
          </w:p>
        </w:tc>
        <w:tc>
          <w:tcPr>
            <w:tcW w:w="910"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CD607B" w:rsidRPr="00AA4892" w:rsidRDefault="00681A46" w:rsidP="00AA4892">
            <w:pPr>
              <w:pStyle w:val="Heading4"/>
              <w:rPr>
                <w:rFonts w:eastAsia="Calibri"/>
              </w:rPr>
            </w:pPr>
            <w:r w:rsidRPr="00AA4892">
              <w:rPr>
                <w:rFonts w:eastAsia="Calibri"/>
              </w:rPr>
              <w:t>P-value</w:t>
            </w:r>
          </w:p>
        </w:tc>
        <w:tc>
          <w:tcPr>
            <w:tcW w:w="1184"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rPr>
            </w:pPr>
            <w:r w:rsidRPr="00AA4892">
              <w:rPr>
                <w:rFonts w:eastAsia="Calibri"/>
              </w:rPr>
              <w:t>OR (95% CI)</w:t>
            </w:r>
          </w:p>
        </w:tc>
      </w:tr>
      <w:tr w:rsidR="00CD607B" w:rsidRPr="00AA4892" w:rsidTr="00AA4892">
        <w:trPr>
          <w:jc w:val="center"/>
        </w:trPr>
        <w:tc>
          <w:tcPr>
            <w:tcW w:w="1190" w:type="pct"/>
            <w:vMerge w:val="restart"/>
            <w:tcBorders>
              <w:top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VOC (n=49)</w:t>
            </w:r>
          </w:p>
        </w:tc>
        <w:tc>
          <w:tcPr>
            <w:tcW w:w="1716" w:type="pct"/>
            <w:tcBorders>
              <w:top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CC         19 (38.8%)</w:t>
            </w:r>
          </w:p>
        </w:tc>
        <w:tc>
          <w:tcPr>
            <w:tcW w:w="910" w:type="pct"/>
            <w:vMerge w:val="restart"/>
            <w:tcBorders>
              <w:top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0.465</w:t>
            </w:r>
          </w:p>
        </w:tc>
        <w:tc>
          <w:tcPr>
            <w:tcW w:w="1184" w:type="pct"/>
            <w:vMerge w:val="restar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CT          17 (34.7%)</w:t>
            </w:r>
          </w:p>
        </w:tc>
        <w:tc>
          <w:tcPr>
            <w:tcW w:w="91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84" w:type="pct"/>
            <w:vMerge/>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TT          13 (26.5%)</w:t>
            </w:r>
          </w:p>
        </w:tc>
        <w:tc>
          <w:tcPr>
            <w:tcW w:w="91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84" w:type="pct"/>
            <w:vMerge/>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CC#TT+CT</w:t>
            </w:r>
          </w:p>
        </w:tc>
        <w:tc>
          <w:tcPr>
            <w:tcW w:w="910"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0.216</w:t>
            </w:r>
          </w:p>
        </w:tc>
        <w:tc>
          <w:tcPr>
            <w:tcW w:w="1184"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4.69 (0.18-121.0)</w:t>
            </w: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TT#CC+CT</w:t>
            </w:r>
          </w:p>
        </w:tc>
        <w:tc>
          <w:tcPr>
            <w:tcW w:w="910"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0.358</w:t>
            </w:r>
          </w:p>
        </w:tc>
        <w:tc>
          <w:tcPr>
            <w:tcW w:w="1184"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1.12 (0.04-28.93)</w:t>
            </w:r>
          </w:p>
        </w:tc>
      </w:tr>
      <w:tr w:rsidR="00CD607B" w:rsidRPr="00AA4892" w:rsidTr="00AA4892">
        <w:trPr>
          <w:jc w:val="center"/>
        </w:trPr>
        <w:tc>
          <w:tcPr>
            <w:tcW w:w="1190" w:type="pct"/>
            <w:vMerge w:val="restar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Osteonecrosis (n=4)</w:t>
            </w: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CC                  1 (25%)</w:t>
            </w:r>
          </w:p>
        </w:tc>
        <w:tc>
          <w:tcPr>
            <w:tcW w:w="910" w:type="pct"/>
            <w:vMerge w:val="restar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0.557</w:t>
            </w:r>
          </w:p>
        </w:tc>
        <w:tc>
          <w:tcPr>
            <w:tcW w:w="1184" w:type="pct"/>
            <w:vMerge w:val="restar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CT                  2 (50%)</w:t>
            </w:r>
          </w:p>
        </w:tc>
        <w:tc>
          <w:tcPr>
            <w:tcW w:w="91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84" w:type="pct"/>
            <w:vMerge/>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TT                  1 (25%)</w:t>
            </w:r>
          </w:p>
        </w:tc>
        <w:tc>
          <w:tcPr>
            <w:tcW w:w="91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84" w:type="pct"/>
            <w:vMerge/>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CC#TT+CT</w:t>
            </w:r>
          </w:p>
        </w:tc>
        <w:tc>
          <w:tcPr>
            <w:tcW w:w="910"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0.407</w:t>
            </w:r>
          </w:p>
        </w:tc>
        <w:tc>
          <w:tcPr>
            <w:tcW w:w="1184"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2.11 (0.2-21.87)</w:t>
            </w: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TT#CC+CT</w:t>
            </w:r>
          </w:p>
        </w:tc>
        <w:tc>
          <w:tcPr>
            <w:tcW w:w="910"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0.747</w:t>
            </w:r>
          </w:p>
        </w:tc>
        <w:tc>
          <w:tcPr>
            <w:tcW w:w="1184"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0.9 (0.09-9.97)</w:t>
            </w:r>
          </w:p>
        </w:tc>
      </w:tr>
      <w:tr w:rsidR="00CD607B" w:rsidRPr="00AA4892" w:rsidTr="00AA4892">
        <w:trPr>
          <w:jc w:val="center"/>
        </w:trPr>
        <w:tc>
          <w:tcPr>
            <w:tcW w:w="1190" w:type="pct"/>
            <w:vMerge w:val="restar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roofErr w:type="spellStart"/>
            <w:r w:rsidRPr="00AA4892">
              <w:rPr>
                <w:rFonts w:eastAsia="Calibri"/>
                <w:b w:val="0"/>
                <w:bCs/>
              </w:rPr>
              <w:t>Cholelithiasis</w:t>
            </w:r>
            <w:proofErr w:type="spellEnd"/>
            <w:r w:rsidRPr="00AA4892">
              <w:rPr>
                <w:rFonts w:eastAsia="Calibri"/>
                <w:b w:val="0"/>
                <w:bCs/>
              </w:rPr>
              <w:t xml:space="preserve"> (n=4)</w:t>
            </w: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CC                  2 (50%)</w:t>
            </w:r>
          </w:p>
        </w:tc>
        <w:tc>
          <w:tcPr>
            <w:tcW w:w="910" w:type="pct"/>
            <w:vMerge w:val="restar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0.321</w:t>
            </w:r>
          </w:p>
        </w:tc>
        <w:tc>
          <w:tcPr>
            <w:tcW w:w="1184" w:type="pct"/>
            <w:vMerge w:val="restar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CT                  1 (25%)</w:t>
            </w:r>
          </w:p>
        </w:tc>
        <w:tc>
          <w:tcPr>
            <w:tcW w:w="91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84" w:type="pct"/>
            <w:vMerge/>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TT                  1 (25%)</w:t>
            </w:r>
          </w:p>
        </w:tc>
        <w:tc>
          <w:tcPr>
            <w:tcW w:w="91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84" w:type="pct"/>
            <w:vMerge/>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CC#TT+CT</w:t>
            </w:r>
          </w:p>
        </w:tc>
        <w:tc>
          <w:tcPr>
            <w:tcW w:w="910"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0.670</w:t>
            </w:r>
          </w:p>
        </w:tc>
        <w:tc>
          <w:tcPr>
            <w:tcW w:w="1184"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0.642 (0.08-4.98)</w:t>
            </w:r>
          </w:p>
        </w:tc>
      </w:tr>
      <w:tr w:rsidR="00CD607B" w:rsidRPr="00AA4892" w:rsidTr="00AA4892">
        <w:trPr>
          <w:jc w:val="center"/>
        </w:trPr>
        <w:tc>
          <w:tcPr>
            <w:tcW w:w="1190" w:type="pct"/>
            <w:vMerge/>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716"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TT#CC+CT</w:t>
            </w:r>
          </w:p>
        </w:tc>
        <w:tc>
          <w:tcPr>
            <w:tcW w:w="910"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0.962</w:t>
            </w:r>
          </w:p>
        </w:tc>
        <w:tc>
          <w:tcPr>
            <w:tcW w:w="1184"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0.9 (0.09-9.97)</w:t>
            </w:r>
          </w:p>
        </w:tc>
      </w:tr>
    </w:tbl>
    <w:p w:rsidR="00CD607B" w:rsidRPr="00AA4892" w:rsidRDefault="00CD607B" w:rsidP="00AA4892">
      <w:pPr>
        <w:pStyle w:val="Heading4"/>
        <w:rPr>
          <w:rFonts w:eastAsia="Calibri"/>
          <w:b w:val="0"/>
          <w:bCs/>
        </w:rPr>
      </w:pPr>
      <w:r w:rsidRPr="00AA4892">
        <w:rPr>
          <w:rFonts w:eastAsia="Calibri"/>
          <w:b w:val="0"/>
          <w:bCs/>
        </w:rPr>
        <w:t xml:space="preserve">*p&lt;0.05 is considered statistically significant. </w:t>
      </w:r>
    </w:p>
    <w:p w:rsidR="00AA4892" w:rsidRDefault="00AA4892" w:rsidP="00CD607B">
      <w:pPr>
        <w:bidi w:val="0"/>
        <w:jc w:val="both"/>
        <w:rPr>
          <w:rFonts w:ascii="Calibri" w:eastAsia="Calibri" w:hAnsi="Calibri"/>
          <w:sz w:val="22"/>
          <w:szCs w:val="22"/>
        </w:rPr>
      </w:pPr>
    </w:p>
    <w:p w:rsidR="00681A46" w:rsidRDefault="00681A46" w:rsidP="00681A46">
      <w:pPr>
        <w:bidi w:val="0"/>
        <w:jc w:val="both"/>
        <w:rPr>
          <w:rFonts w:ascii="Calibri" w:eastAsia="Calibri" w:hAnsi="Calibri"/>
          <w:sz w:val="22"/>
          <w:szCs w:val="22"/>
        </w:rPr>
        <w:sectPr w:rsidR="00681A46" w:rsidSect="00AA4892">
          <w:type w:val="continuous"/>
          <w:pgSz w:w="12240" w:h="15840"/>
          <w:pgMar w:top="1440" w:right="1080" w:bottom="1440" w:left="1080" w:header="432" w:footer="720" w:gutter="0"/>
          <w:pgNumType w:start="297"/>
          <w:cols w:space="720"/>
          <w:docGrid w:linePitch="360"/>
        </w:sectPr>
      </w:pPr>
    </w:p>
    <w:p w:rsidR="00CD607B" w:rsidRDefault="00CD607B" w:rsidP="00AA4892">
      <w:pPr>
        <w:bidi w:val="0"/>
        <w:jc w:val="both"/>
        <w:rPr>
          <w:rFonts w:ascii="Calibri" w:eastAsia="Calibri" w:hAnsi="Calibri"/>
          <w:sz w:val="22"/>
          <w:szCs w:val="22"/>
        </w:rPr>
      </w:pPr>
      <w:r w:rsidRPr="00CD607B">
        <w:rPr>
          <w:rFonts w:ascii="Calibri" w:eastAsia="Calibri" w:hAnsi="Calibri"/>
          <w:sz w:val="22"/>
          <w:szCs w:val="22"/>
        </w:rPr>
        <w:lastRenderedPageBreak/>
        <w:t>Comparison of the mean ESPAP among the different genotypes showed statistically significantly higher mean ESPAP among TT versus the combined genotypes CC + CT (TT#CT+CC) (</w:t>
      </w:r>
      <w:r w:rsidRPr="00CD607B">
        <w:rPr>
          <w:rFonts w:ascii="Calibri" w:eastAsia="Calibri" w:hAnsi="Calibri"/>
          <w:bCs/>
          <w:iCs/>
          <w:sz w:val="22"/>
          <w:szCs w:val="22"/>
        </w:rPr>
        <w:t xml:space="preserve">42.62 </w:t>
      </w:r>
      <w:r w:rsidRPr="00CD607B">
        <w:rPr>
          <w:rFonts w:ascii="Calibri" w:eastAsia="Calibri" w:hAnsi="Calibri"/>
          <w:sz w:val="22"/>
          <w:szCs w:val="22"/>
        </w:rPr>
        <w:t xml:space="preserve"># </w:t>
      </w:r>
      <w:r w:rsidRPr="00CD607B">
        <w:rPr>
          <w:rFonts w:ascii="Calibri" w:eastAsia="Calibri" w:hAnsi="Calibri"/>
          <w:bCs/>
          <w:iCs/>
          <w:sz w:val="22"/>
          <w:szCs w:val="22"/>
        </w:rPr>
        <w:t>33.49)</w:t>
      </w:r>
      <w:r w:rsidRPr="00CD607B">
        <w:rPr>
          <w:rFonts w:ascii="Calibri" w:eastAsia="Calibri" w:hAnsi="Calibri"/>
          <w:b/>
          <w:bCs/>
          <w:iCs/>
          <w:sz w:val="22"/>
          <w:szCs w:val="22"/>
        </w:rPr>
        <w:t xml:space="preserve"> </w:t>
      </w:r>
      <w:r w:rsidRPr="00CD607B">
        <w:rPr>
          <w:rFonts w:ascii="Calibri" w:eastAsia="Calibri" w:hAnsi="Calibri"/>
          <w:sz w:val="22"/>
          <w:szCs w:val="22"/>
        </w:rPr>
        <w:t>(P value: &lt;0.001) (Table 5).</w:t>
      </w:r>
    </w:p>
    <w:p w:rsidR="00AA4892" w:rsidRDefault="00AA4892" w:rsidP="00AA4892">
      <w:pPr>
        <w:bidi w:val="0"/>
        <w:rPr>
          <w:rFonts w:eastAsia="Calibri"/>
        </w:rPr>
      </w:pPr>
    </w:p>
    <w:p w:rsidR="00AA4892" w:rsidRDefault="00AA4892" w:rsidP="00AA4892">
      <w:pPr>
        <w:bidi w:val="0"/>
        <w:rPr>
          <w:rFonts w:eastAsia="Calibri"/>
        </w:rPr>
      </w:pPr>
    </w:p>
    <w:p w:rsidR="00AA4892" w:rsidRDefault="00AA4892" w:rsidP="00AA4892">
      <w:pPr>
        <w:bidi w:val="0"/>
        <w:rPr>
          <w:rFonts w:eastAsia="Calibri"/>
        </w:rPr>
      </w:pPr>
    </w:p>
    <w:p w:rsidR="00CD607B" w:rsidRPr="00AA4892" w:rsidRDefault="00CD607B" w:rsidP="00AA4892">
      <w:pPr>
        <w:pStyle w:val="Heading4"/>
        <w:rPr>
          <w:rFonts w:eastAsia="Calibri"/>
        </w:rPr>
      </w:pPr>
      <w:r w:rsidRPr="00AA4892">
        <w:rPr>
          <w:rFonts w:eastAsia="Calibri"/>
        </w:rPr>
        <w:lastRenderedPageBreak/>
        <w:t>Table 5: Mean ESPAP in SCD patients with different IL-1β +3954 Polymorphism Genotypes</w:t>
      </w:r>
    </w:p>
    <w:tbl>
      <w:tblPr>
        <w:tblW w:w="5000" w:type="pct"/>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1633"/>
        <w:gridCol w:w="1632"/>
        <w:gridCol w:w="1631"/>
      </w:tblGrid>
      <w:tr w:rsidR="00CD607B" w:rsidRPr="00AA4892" w:rsidTr="00AA4892">
        <w:trPr>
          <w:trHeight w:val="20"/>
        </w:trPr>
        <w:tc>
          <w:tcPr>
            <w:tcW w:w="1667"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rPr>
            </w:pPr>
          </w:p>
        </w:tc>
        <w:tc>
          <w:tcPr>
            <w:tcW w:w="1667"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rPr>
            </w:pPr>
            <w:r w:rsidRPr="00AA4892">
              <w:rPr>
                <w:rFonts w:eastAsia="Calibri"/>
              </w:rPr>
              <w:t>Mean ESPAP (mmHg)</w:t>
            </w:r>
          </w:p>
        </w:tc>
        <w:tc>
          <w:tcPr>
            <w:tcW w:w="1667"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681A46" w:rsidP="00AA4892">
            <w:pPr>
              <w:pStyle w:val="Heading4"/>
              <w:rPr>
                <w:rFonts w:eastAsia="Calibri"/>
              </w:rPr>
            </w:pPr>
            <w:r w:rsidRPr="00AA4892">
              <w:rPr>
                <w:rFonts w:eastAsia="Calibri"/>
              </w:rPr>
              <w:t>P-value</w:t>
            </w:r>
          </w:p>
        </w:tc>
      </w:tr>
      <w:tr w:rsidR="00CD607B" w:rsidRPr="00AA4892" w:rsidTr="00AA4892">
        <w:trPr>
          <w:trHeight w:val="20"/>
        </w:trPr>
        <w:tc>
          <w:tcPr>
            <w:tcW w:w="1667"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CT+TT</w:t>
            </w:r>
          </w:p>
          <w:p w:rsidR="00CD607B" w:rsidRPr="00AA4892" w:rsidRDefault="00CD607B" w:rsidP="00AA4892">
            <w:pPr>
              <w:pStyle w:val="Heading4"/>
              <w:rPr>
                <w:rFonts w:eastAsia="Calibri"/>
                <w:b w:val="0"/>
                <w:bCs/>
              </w:rPr>
            </w:pPr>
            <w:r w:rsidRPr="00AA4892">
              <w:rPr>
                <w:rFonts w:eastAsia="Calibri"/>
                <w:b w:val="0"/>
                <w:bCs/>
              </w:rPr>
              <w:t>CC</w:t>
            </w:r>
          </w:p>
        </w:tc>
        <w:tc>
          <w:tcPr>
            <w:tcW w:w="1667"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37.72</w:t>
            </w:r>
          </w:p>
          <w:p w:rsidR="00CD607B" w:rsidRPr="00AA4892" w:rsidRDefault="00CD607B" w:rsidP="00AA4892">
            <w:pPr>
              <w:pStyle w:val="Heading4"/>
              <w:rPr>
                <w:rFonts w:eastAsia="Calibri"/>
                <w:b w:val="0"/>
                <w:bCs/>
              </w:rPr>
            </w:pPr>
            <w:r w:rsidRPr="00AA4892">
              <w:rPr>
                <w:rFonts w:eastAsia="Calibri"/>
                <w:b w:val="0"/>
                <w:bCs/>
              </w:rPr>
              <w:t>33.9</w:t>
            </w:r>
          </w:p>
        </w:tc>
        <w:tc>
          <w:tcPr>
            <w:tcW w:w="1667"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0.542</w:t>
            </w:r>
          </w:p>
        </w:tc>
      </w:tr>
      <w:tr w:rsidR="00CD607B" w:rsidRPr="00AA4892" w:rsidTr="00AA4892">
        <w:trPr>
          <w:trHeight w:val="20"/>
        </w:trPr>
        <w:tc>
          <w:tcPr>
            <w:tcW w:w="166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TT</w:t>
            </w:r>
          </w:p>
          <w:p w:rsidR="00CD607B" w:rsidRPr="00AA4892" w:rsidRDefault="00CD607B" w:rsidP="00AA4892">
            <w:pPr>
              <w:pStyle w:val="Heading4"/>
              <w:rPr>
                <w:rFonts w:eastAsia="Calibri"/>
                <w:b w:val="0"/>
                <w:bCs/>
              </w:rPr>
            </w:pPr>
            <w:r w:rsidRPr="00AA4892">
              <w:rPr>
                <w:rFonts w:eastAsia="Calibri"/>
                <w:b w:val="0"/>
                <w:bCs/>
              </w:rPr>
              <w:t>CC+CT</w:t>
            </w:r>
          </w:p>
        </w:tc>
        <w:tc>
          <w:tcPr>
            <w:tcW w:w="166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42.62</w:t>
            </w:r>
          </w:p>
          <w:p w:rsidR="00CD607B" w:rsidRPr="00AA4892" w:rsidRDefault="00CD607B" w:rsidP="00AA4892">
            <w:pPr>
              <w:pStyle w:val="Heading4"/>
              <w:rPr>
                <w:rFonts w:eastAsia="Calibri"/>
                <w:b w:val="0"/>
                <w:bCs/>
              </w:rPr>
            </w:pPr>
            <w:r w:rsidRPr="00AA4892">
              <w:rPr>
                <w:rFonts w:eastAsia="Calibri"/>
                <w:b w:val="0"/>
                <w:bCs/>
              </w:rPr>
              <w:t>33.49</w:t>
            </w:r>
          </w:p>
        </w:tc>
        <w:tc>
          <w:tcPr>
            <w:tcW w:w="166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&lt;0.001*</w:t>
            </w:r>
          </w:p>
        </w:tc>
      </w:tr>
    </w:tbl>
    <w:p w:rsidR="00CD607B" w:rsidRPr="00133A5B" w:rsidRDefault="00CD607B" w:rsidP="00133A5B">
      <w:pPr>
        <w:pStyle w:val="Heading4"/>
        <w:rPr>
          <w:rFonts w:eastAsia="Calibri"/>
          <w:b w:val="0"/>
          <w:bCs/>
        </w:rPr>
      </w:pPr>
      <w:r w:rsidRPr="00133A5B">
        <w:rPr>
          <w:rFonts w:eastAsia="Calibri"/>
          <w:b w:val="0"/>
          <w:bCs/>
        </w:rPr>
        <w:t>*p&lt;0.05 is considered statistically significant</w:t>
      </w:r>
    </w:p>
    <w:p w:rsidR="00681A46" w:rsidRDefault="00681A46" w:rsidP="00AA4892">
      <w:pPr>
        <w:pStyle w:val="Heading4"/>
        <w:rPr>
          <w:rFonts w:eastAsia="Calibri"/>
        </w:rPr>
      </w:pPr>
    </w:p>
    <w:p w:rsidR="00CD607B" w:rsidRPr="002E115C" w:rsidRDefault="00CD607B" w:rsidP="00681A46">
      <w:pPr>
        <w:pStyle w:val="Heading4"/>
        <w:jc w:val="left"/>
        <w:rPr>
          <w:rFonts w:eastAsia="Calibri"/>
          <w:b w:val="0"/>
          <w:bCs/>
        </w:rPr>
      </w:pPr>
      <w:r w:rsidRPr="002E115C">
        <w:rPr>
          <w:rFonts w:eastAsia="Calibri"/>
          <w:b w:val="0"/>
          <w:bCs/>
          <w:highlight w:val="yellow"/>
        </w:rPr>
        <w:t>Comparison of laboratory values among the different genotypes did not show statistically significant difference (Table 6).</w:t>
      </w:r>
    </w:p>
    <w:p w:rsidR="00CD607B" w:rsidRPr="00AA4892" w:rsidRDefault="00CD607B" w:rsidP="00AA4892">
      <w:pPr>
        <w:pStyle w:val="Heading4"/>
        <w:rPr>
          <w:rFonts w:eastAsia="Calibri"/>
          <w:b w:val="0"/>
          <w:bCs/>
        </w:rPr>
      </w:pPr>
    </w:p>
    <w:p w:rsidR="00AA4892" w:rsidRDefault="00AA4892" w:rsidP="00AA4892">
      <w:pPr>
        <w:pStyle w:val="Heading4"/>
        <w:rPr>
          <w:rFonts w:eastAsia="Calibri"/>
          <w:b w:val="0"/>
          <w:bCs/>
        </w:rPr>
        <w:sectPr w:rsidR="00AA4892" w:rsidSect="00B5594F">
          <w:type w:val="continuous"/>
          <w:pgSz w:w="12240" w:h="15840"/>
          <w:pgMar w:top="1440" w:right="1080" w:bottom="1440" w:left="1080" w:header="432" w:footer="720" w:gutter="0"/>
          <w:pgNumType w:start="297"/>
          <w:cols w:num="2" w:space="720"/>
          <w:docGrid w:linePitch="360"/>
        </w:sectPr>
      </w:pPr>
    </w:p>
    <w:p w:rsidR="00CD607B" w:rsidRPr="00AA4892" w:rsidRDefault="00CD607B" w:rsidP="00AA4892">
      <w:pPr>
        <w:pStyle w:val="Heading4"/>
        <w:rPr>
          <w:rFonts w:eastAsia="Calibri"/>
          <w:b w:val="0"/>
          <w:bCs/>
          <w:i/>
        </w:rPr>
      </w:pPr>
      <w:r w:rsidRPr="00AA4892">
        <w:rPr>
          <w:rFonts w:eastAsia="Calibri"/>
        </w:rPr>
        <w:lastRenderedPageBreak/>
        <w:t>Table 6:</w:t>
      </w:r>
      <w:r w:rsidRPr="00AA4892">
        <w:rPr>
          <w:rFonts w:eastAsia="Calibri"/>
          <w:b w:val="0"/>
          <w:bCs/>
        </w:rPr>
        <w:t xml:space="preserve"> Associations between IL-1β +3954 Polymorphism Genotypes and Laboratory Values</w:t>
      </w:r>
    </w:p>
    <w:tbl>
      <w:tblPr>
        <w:tblW w:w="5000" w:type="pct"/>
        <w:tblBorders>
          <w:top w:val="single" w:sz="4" w:space="0" w:color="auto"/>
          <w:bottom w:val="single" w:sz="4" w:space="0" w:color="auto"/>
        </w:tblBorders>
        <w:tblCellMar>
          <w:left w:w="10" w:type="dxa"/>
          <w:right w:w="10" w:type="dxa"/>
        </w:tblCellMar>
        <w:tblLook w:val="0000" w:firstRow="0" w:lastRow="0" w:firstColumn="0" w:lastColumn="0" w:noHBand="0" w:noVBand="0"/>
      </w:tblPr>
      <w:tblGrid>
        <w:gridCol w:w="2964"/>
        <w:gridCol w:w="2312"/>
        <w:gridCol w:w="1971"/>
        <w:gridCol w:w="1892"/>
        <w:gridCol w:w="1157"/>
      </w:tblGrid>
      <w:tr w:rsidR="00CD607B" w:rsidRPr="00AA4892" w:rsidTr="00AA4892">
        <w:trPr>
          <w:trHeight w:val="20"/>
        </w:trPr>
        <w:tc>
          <w:tcPr>
            <w:tcW w:w="1439" w:type="pct"/>
            <w:tcBorders>
              <w:top w:val="single" w:sz="4" w:space="0" w:color="auto"/>
              <w:bottom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rPr>
            </w:pPr>
          </w:p>
        </w:tc>
        <w:tc>
          <w:tcPr>
            <w:tcW w:w="2999" w:type="pct"/>
            <w:gridSpan w:val="3"/>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rPr>
            </w:pPr>
            <w:r w:rsidRPr="00AA4892">
              <w:rPr>
                <w:rFonts w:eastAsia="Calibri"/>
              </w:rPr>
              <w:t>IL-1β +3954 polymorphism genotypes</w:t>
            </w:r>
          </w:p>
        </w:tc>
        <w:tc>
          <w:tcPr>
            <w:tcW w:w="562" w:type="pct"/>
            <w:tcBorders>
              <w:top w:val="single" w:sz="4" w:space="0" w:color="auto"/>
              <w:bottom w:val="single" w:sz="4" w:space="0" w:color="auto"/>
            </w:tcBorders>
            <w:shd w:val="clear" w:color="auto" w:fill="auto"/>
            <w:tcMar>
              <w:top w:w="0" w:type="dxa"/>
              <w:left w:w="108" w:type="dxa"/>
              <w:bottom w:w="0" w:type="dxa"/>
              <w:right w:w="108" w:type="dxa"/>
            </w:tcMar>
          </w:tcPr>
          <w:p w:rsidR="00CD607B" w:rsidRPr="00AA4892" w:rsidRDefault="00681A46" w:rsidP="00AA4892">
            <w:pPr>
              <w:pStyle w:val="Heading4"/>
              <w:rPr>
                <w:rFonts w:eastAsia="Calibri"/>
              </w:rPr>
            </w:pPr>
            <w:r w:rsidRPr="00AA4892">
              <w:rPr>
                <w:rFonts w:eastAsia="Calibri"/>
              </w:rPr>
              <w:t>P-value</w:t>
            </w:r>
          </w:p>
        </w:tc>
      </w:tr>
      <w:tr w:rsidR="00CD607B" w:rsidRPr="00AA4892" w:rsidTr="00AA4892">
        <w:trPr>
          <w:trHeight w:val="20"/>
        </w:trPr>
        <w:tc>
          <w:tcPr>
            <w:tcW w:w="1439" w:type="pct"/>
            <w:tcBorders>
              <w:top w:val="single" w:sz="4" w:space="0" w:color="auto"/>
            </w:tcBorders>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
        </w:tc>
        <w:tc>
          <w:tcPr>
            <w:tcW w:w="1123"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CC (n=20)</w:t>
            </w:r>
          </w:p>
        </w:tc>
        <w:tc>
          <w:tcPr>
            <w:tcW w:w="957"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CT (n=17)</w:t>
            </w:r>
          </w:p>
        </w:tc>
        <w:tc>
          <w:tcPr>
            <w:tcW w:w="919"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TT (n=13)</w:t>
            </w:r>
          </w:p>
        </w:tc>
        <w:tc>
          <w:tcPr>
            <w:tcW w:w="562" w:type="pct"/>
            <w:tcBorders>
              <w:top w:val="single" w:sz="4" w:space="0" w:color="auto"/>
            </w:tcBorders>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HB (mean ± SD) g/dl</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8.68 (± 0.725)</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8.72 (± 0.84)</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8.90 (± 0.84)</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0.765</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RETICS (mean ± SD) %</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5.69 (± 2.45)</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6.09 (± 2.73)</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7.09 (± 3.28)</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0.431</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HCT (mean ± SD) %</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23.03(± 1.08)</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23.7 (± 2.4)</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23.3 (± 2.3)</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0.528</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681A46" w:rsidP="00AA4892">
            <w:pPr>
              <w:pStyle w:val="Heading4"/>
              <w:rPr>
                <w:rFonts w:eastAsia="Calibri"/>
                <w:b w:val="0"/>
                <w:bCs/>
              </w:rPr>
            </w:pPr>
            <w:r w:rsidRPr="00AA4892">
              <w:rPr>
                <w:rFonts w:eastAsia="Calibri"/>
                <w:b w:val="0"/>
                <w:bCs/>
              </w:rPr>
              <w:t>MCV (</w:t>
            </w:r>
            <w:r w:rsidR="00CD607B" w:rsidRPr="00AA4892">
              <w:rPr>
                <w:rFonts w:eastAsia="Calibri"/>
                <w:b w:val="0"/>
                <w:bCs/>
              </w:rPr>
              <w:t xml:space="preserve">mean ± SD) </w:t>
            </w:r>
            <w:proofErr w:type="spellStart"/>
            <w:r w:rsidR="00CD607B" w:rsidRPr="00AA4892">
              <w:rPr>
                <w:rFonts w:eastAsia="Calibri"/>
                <w:b w:val="0"/>
                <w:bCs/>
              </w:rPr>
              <w:t>fl</w:t>
            </w:r>
            <w:proofErr w:type="spellEnd"/>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82.42 (± 11)</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79 (± 11)</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147 (± 22.1)</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0.219</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 xml:space="preserve">MCH (mean ± SD) </w:t>
            </w:r>
            <w:proofErr w:type="spellStart"/>
            <w:r w:rsidRPr="00AA4892">
              <w:rPr>
                <w:rFonts w:eastAsia="Calibri"/>
                <w:b w:val="0"/>
                <w:bCs/>
              </w:rPr>
              <w:t>pg</w:t>
            </w:r>
            <w:proofErr w:type="spellEnd"/>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26.2 (± 3.7)</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25.17 (± 4.2)</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28.12 (± 4.5)</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0.414</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TLC (mean ± SD) x 10</w:t>
            </w:r>
            <w:r w:rsidRPr="00AA4892">
              <w:rPr>
                <w:rFonts w:eastAsia="Calibri"/>
                <w:b w:val="0"/>
                <w:bCs/>
                <w:vertAlign w:val="superscript"/>
              </w:rPr>
              <w:t>3</w:t>
            </w:r>
            <w:r w:rsidRPr="00AA4892">
              <w:rPr>
                <w:rFonts w:eastAsia="Calibri"/>
                <w:b w:val="0"/>
                <w:bCs/>
              </w:rPr>
              <w:t>/</w:t>
            </w:r>
            <w:proofErr w:type="spellStart"/>
            <w:r w:rsidRPr="00AA4892">
              <w:rPr>
                <w:rFonts w:eastAsia="Calibri"/>
                <w:b w:val="0"/>
                <w:bCs/>
              </w:rPr>
              <w:t>cmm</w:t>
            </w:r>
            <w:proofErr w:type="spellEnd"/>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8.7(± 2)</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9.04 (± 2.70)</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9.87 (± 2.08)</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0.189</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PLT (mean ± SD) x 10</w:t>
            </w:r>
            <w:r w:rsidRPr="00AA4892">
              <w:rPr>
                <w:rFonts w:eastAsia="Calibri"/>
                <w:b w:val="0"/>
                <w:bCs/>
                <w:vertAlign w:val="superscript"/>
              </w:rPr>
              <w:t>3</w:t>
            </w:r>
            <w:r w:rsidRPr="00AA4892">
              <w:rPr>
                <w:rFonts w:eastAsia="Calibri"/>
                <w:b w:val="0"/>
                <w:bCs/>
              </w:rPr>
              <w:t>/</w:t>
            </w:r>
            <w:proofErr w:type="spellStart"/>
            <w:r w:rsidRPr="00AA4892">
              <w:rPr>
                <w:rFonts w:eastAsia="Calibri"/>
                <w:b w:val="0"/>
                <w:bCs/>
              </w:rPr>
              <w:t>cmm</w:t>
            </w:r>
            <w:proofErr w:type="spellEnd"/>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391.3 (± 150)</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325.4 (± 11)</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339.8 (± 13)</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0.45</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Ferritin (mean ± SD) ng/ml</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372.7 (± 149.7)</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404.4 (± 301)</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359.6 (± 241.6)</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0.760</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roofErr w:type="spellStart"/>
            <w:r w:rsidRPr="00AA4892">
              <w:rPr>
                <w:rFonts w:eastAsia="Calibri"/>
                <w:b w:val="0"/>
                <w:bCs/>
              </w:rPr>
              <w:t>HbS</w:t>
            </w:r>
            <w:proofErr w:type="spellEnd"/>
            <w:r w:rsidRPr="00AA4892">
              <w:rPr>
                <w:rFonts w:eastAsia="Calibri"/>
                <w:b w:val="0"/>
                <w:bCs/>
              </w:rPr>
              <w:t xml:space="preserve"> (mean ± SD) %</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65.64 (± 17.9)</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71.06 (± 11)</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69.70 (± 9.5)</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0.644</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proofErr w:type="spellStart"/>
            <w:r w:rsidRPr="00AA4892">
              <w:rPr>
                <w:rFonts w:eastAsia="Calibri"/>
                <w:b w:val="0"/>
                <w:bCs/>
              </w:rPr>
              <w:t>HbF</w:t>
            </w:r>
            <w:proofErr w:type="spellEnd"/>
            <w:r w:rsidRPr="00AA4892">
              <w:rPr>
                <w:rFonts w:eastAsia="Calibri"/>
                <w:b w:val="0"/>
                <w:bCs/>
              </w:rPr>
              <w:t xml:space="preserve"> (mean ± SD) %</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19.1 (± 14.6)</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11.8 (± 9.5)</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16.8 (± 9.2)</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0.221</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HbA1 (mean ± SD) %</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14.1 (± 19)</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14.3 (± 15.2)</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10.8 (± 11)</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0.896</w:t>
            </w:r>
          </w:p>
        </w:tc>
      </w:tr>
      <w:tr w:rsidR="00CD607B" w:rsidRPr="00AA4892" w:rsidTr="00AA4892">
        <w:trPr>
          <w:trHeight w:val="20"/>
        </w:trPr>
        <w:tc>
          <w:tcPr>
            <w:tcW w:w="1439" w:type="pct"/>
            <w:shd w:val="clear" w:color="auto" w:fill="auto"/>
            <w:tcMar>
              <w:top w:w="0" w:type="dxa"/>
              <w:left w:w="108" w:type="dxa"/>
              <w:bottom w:w="0" w:type="dxa"/>
              <w:right w:w="108" w:type="dxa"/>
            </w:tcMar>
            <w:vAlign w:val="center"/>
          </w:tcPr>
          <w:p w:rsidR="00CD607B" w:rsidRPr="00AA4892" w:rsidRDefault="00CD607B" w:rsidP="00AA4892">
            <w:pPr>
              <w:pStyle w:val="Heading4"/>
              <w:rPr>
                <w:rFonts w:eastAsia="Calibri"/>
                <w:b w:val="0"/>
                <w:bCs/>
              </w:rPr>
            </w:pPr>
            <w:r w:rsidRPr="00AA4892">
              <w:rPr>
                <w:rFonts w:eastAsia="Calibri"/>
                <w:b w:val="0"/>
                <w:bCs/>
              </w:rPr>
              <w:t>HbA2 (mean ± SD) %</w:t>
            </w:r>
          </w:p>
        </w:tc>
        <w:tc>
          <w:tcPr>
            <w:tcW w:w="1123"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2.6 (± 0.6)</w:t>
            </w:r>
          </w:p>
        </w:tc>
        <w:tc>
          <w:tcPr>
            <w:tcW w:w="957"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4.4 (± 7.1)</w:t>
            </w:r>
          </w:p>
        </w:tc>
        <w:tc>
          <w:tcPr>
            <w:tcW w:w="919"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2.8 (± 0.6)</w:t>
            </w:r>
          </w:p>
        </w:tc>
        <w:tc>
          <w:tcPr>
            <w:tcW w:w="562" w:type="pct"/>
            <w:shd w:val="clear" w:color="auto" w:fill="auto"/>
            <w:tcMar>
              <w:top w:w="0" w:type="dxa"/>
              <w:left w:w="108" w:type="dxa"/>
              <w:bottom w:w="0" w:type="dxa"/>
              <w:right w:w="108" w:type="dxa"/>
            </w:tcMar>
          </w:tcPr>
          <w:p w:rsidR="00CD607B" w:rsidRPr="00AA4892" w:rsidRDefault="00CD607B" w:rsidP="00AA4892">
            <w:pPr>
              <w:pStyle w:val="Heading4"/>
              <w:rPr>
                <w:rFonts w:eastAsia="Calibri"/>
                <w:b w:val="0"/>
                <w:bCs/>
              </w:rPr>
            </w:pPr>
            <w:r w:rsidRPr="00AA4892">
              <w:rPr>
                <w:rFonts w:eastAsia="Calibri"/>
                <w:b w:val="0"/>
                <w:bCs/>
              </w:rPr>
              <w:t>0.65</w:t>
            </w:r>
          </w:p>
        </w:tc>
      </w:tr>
    </w:tbl>
    <w:p w:rsidR="00CD607B" w:rsidRPr="002E115C" w:rsidRDefault="00CD607B" w:rsidP="00AA4892">
      <w:pPr>
        <w:pStyle w:val="Heading4"/>
        <w:rPr>
          <w:rFonts w:eastAsia="Calibri"/>
          <w:b w:val="0"/>
          <w:bCs/>
          <w:iCs/>
        </w:rPr>
      </w:pPr>
      <w:r w:rsidRPr="002E115C">
        <w:rPr>
          <w:rFonts w:eastAsia="Calibri"/>
          <w:b w:val="0"/>
          <w:bCs/>
          <w:iCs/>
        </w:rPr>
        <w:t>*p&lt;0.05 is considered statistically significant.</w:t>
      </w:r>
    </w:p>
    <w:p w:rsidR="00CD607B" w:rsidRPr="00AA4892" w:rsidRDefault="00CD607B" w:rsidP="00AA4892">
      <w:pPr>
        <w:pStyle w:val="Heading4"/>
        <w:rPr>
          <w:rFonts w:eastAsia="Calibri"/>
          <w:b w:val="0"/>
          <w:bCs/>
        </w:rPr>
      </w:pPr>
    </w:p>
    <w:p w:rsidR="00AA4892" w:rsidRDefault="00AA4892" w:rsidP="00CD607B">
      <w:pPr>
        <w:bidi w:val="0"/>
        <w:jc w:val="both"/>
        <w:rPr>
          <w:rFonts w:ascii="Calibri" w:eastAsia="Calibri" w:hAnsi="Calibri"/>
          <w:b/>
          <w:bCs/>
          <w:sz w:val="22"/>
          <w:szCs w:val="22"/>
        </w:rPr>
        <w:sectPr w:rsidR="00AA4892" w:rsidSect="009210D8">
          <w:type w:val="continuous"/>
          <w:pgSz w:w="12240" w:h="15840"/>
          <w:pgMar w:top="1440" w:right="1080" w:bottom="1440" w:left="1080" w:header="432" w:footer="720" w:gutter="0"/>
          <w:pgNumType w:start="39"/>
          <w:cols w:space="720"/>
          <w:docGrid w:linePitch="360"/>
        </w:sectPr>
      </w:pPr>
    </w:p>
    <w:p w:rsidR="002E115C" w:rsidRDefault="002E115C" w:rsidP="00AA4892">
      <w:pPr>
        <w:bidi w:val="0"/>
        <w:jc w:val="both"/>
        <w:rPr>
          <w:rFonts w:ascii="Calibri" w:eastAsia="Calibri" w:hAnsi="Calibri"/>
          <w:b/>
          <w:bCs/>
          <w:sz w:val="22"/>
          <w:szCs w:val="22"/>
        </w:rPr>
      </w:pPr>
    </w:p>
    <w:p w:rsidR="002E115C" w:rsidRDefault="002E115C" w:rsidP="002E115C">
      <w:pPr>
        <w:bidi w:val="0"/>
        <w:jc w:val="both"/>
        <w:rPr>
          <w:rFonts w:ascii="Calibri" w:eastAsia="Calibri" w:hAnsi="Calibri"/>
          <w:b/>
          <w:bCs/>
          <w:sz w:val="22"/>
          <w:szCs w:val="22"/>
        </w:rPr>
      </w:pPr>
    </w:p>
    <w:p w:rsidR="00CD607B" w:rsidRPr="00CD607B" w:rsidRDefault="00CD607B" w:rsidP="002E115C">
      <w:pPr>
        <w:bidi w:val="0"/>
        <w:jc w:val="both"/>
        <w:rPr>
          <w:rFonts w:ascii="Calibri" w:eastAsia="Calibri" w:hAnsi="Calibri"/>
          <w:b/>
          <w:bCs/>
          <w:sz w:val="22"/>
          <w:szCs w:val="22"/>
        </w:rPr>
      </w:pPr>
      <w:r w:rsidRPr="00CD607B">
        <w:rPr>
          <w:rFonts w:ascii="Calibri" w:eastAsia="Calibri" w:hAnsi="Calibri"/>
          <w:b/>
          <w:bCs/>
          <w:sz w:val="22"/>
          <w:szCs w:val="22"/>
        </w:rPr>
        <w:lastRenderedPageBreak/>
        <w:t>DISCUSSION</w:t>
      </w:r>
    </w:p>
    <w:p w:rsidR="00CD607B" w:rsidRPr="00CD607B" w:rsidRDefault="00CD607B" w:rsidP="00AC52C7">
      <w:pPr>
        <w:bidi w:val="0"/>
        <w:jc w:val="both"/>
        <w:rPr>
          <w:rFonts w:ascii="Calibri" w:eastAsia="Calibri" w:hAnsi="Calibri"/>
          <w:b/>
          <w:bCs/>
          <w:sz w:val="22"/>
          <w:szCs w:val="22"/>
          <w:vertAlign w:val="superscript"/>
        </w:rPr>
      </w:pPr>
      <w:r>
        <w:rPr>
          <w:rFonts w:ascii="Calibri" w:eastAsia="Calibri" w:hAnsi="Calibri"/>
          <w:sz w:val="22"/>
          <w:szCs w:val="22"/>
        </w:rPr>
        <w:t xml:space="preserve">   </w:t>
      </w:r>
      <w:r w:rsidRPr="00CD607B">
        <w:rPr>
          <w:rFonts w:ascii="Calibri" w:eastAsia="Calibri" w:hAnsi="Calibri"/>
          <w:sz w:val="22"/>
          <w:szCs w:val="22"/>
        </w:rPr>
        <w:t xml:space="preserve">SCD is one of the most common severe monogenic disorders worldwide. The underlying molecular defect is a single nucleotide substitution (βS– HBB; GAG&gt;GTG; </w:t>
      </w:r>
      <w:proofErr w:type="spellStart"/>
      <w:r w:rsidRPr="00CD607B">
        <w:rPr>
          <w:rFonts w:ascii="Calibri" w:eastAsia="Calibri" w:hAnsi="Calibri"/>
          <w:sz w:val="22"/>
          <w:szCs w:val="22"/>
        </w:rPr>
        <w:t>glu</w:t>
      </w:r>
      <w:proofErr w:type="spellEnd"/>
      <w:r w:rsidRPr="00CD607B">
        <w:rPr>
          <w:rFonts w:ascii="Calibri" w:eastAsia="Calibri" w:hAnsi="Calibri"/>
          <w:sz w:val="22"/>
          <w:szCs w:val="22"/>
        </w:rPr>
        <w:t xml:space="preserve"> → </w:t>
      </w:r>
      <w:proofErr w:type="spellStart"/>
      <w:proofErr w:type="gramStart"/>
      <w:r w:rsidRPr="00CD607B">
        <w:rPr>
          <w:rFonts w:ascii="Calibri" w:eastAsia="Calibri" w:hAnsi="Calibri"/>
          <w:sz w:val="22"/>
          <w:szCs w:val="22"/>
        </w:rPr>
        <w:t>val</w:t>
      </w:r>
      <w:proofErr w:type="spellEnd"/>
      <w:proofErr w:type="gramEnd"/>
      <w:r w:rsidRPr="00CD607B">
        <w:rPr>
          <w:rFonts w:ascii="Calibri" w:eastAsia="Calibri" w:hAnsi="Calibri"/>
          <w:sz w:val="22"/>
          <w:szCs w:val="22"/>
        </w:rPr>
        <w:t>; rs334) in the gene that encodes the β globin chain of hemoglobin. The resulting hemoglobin S (</w:t>
      </w:r>
      <w:proofErr w:type="spellStart"/>
      <w:r w:rsidRPr="00CD607B">
        <w:rPr>
          <w:rFonts w:ascii="Calibri" w:eastAsia="Calibri" w:hAnsi="Calibri"/>
          <w:sz w:val="22"/>
          <w:szCs w:val="22"/>
        </w:rPr>
        <w:t>Hb</w:t>
      </w:r>
      <w:proofErr w:type="spellEnd"/>
      <w:r w:rsidRPr="00CD607B">
        <w:rPr>
          <w:rFonts w:ascii="Calibri" w:eastAsia="Calibri" w:hAnsi="Calibri"/>
          <w:sz w:val="22"/>
          <w:szCs w:val="22"/>
        </w:rPr>
        <w:t xml:space="preserve"> S) polymerizes when deoxygenated, causing polymer-associated lesions of the red blood cells. The World Health Organization recognizes SCD as a global public health problem, as the overall number of babies born with SCD between 2010 and 2050 is estimated to be about 14.24 million</w:t>
      </w:r>
      <w:r w:rsidRPr="00CD607B">
        <w:rPr>
          <w:rFonts w:ascii="Calibri" w:eastAsia="Calibri" w:hAnsi="Calibri"/>
          <w:sz w:val="22"/>
          <w:szCs w:val="22"/>
          <w:vertAlign w:val="superscript"/>
        </w:rPr>
        <w:t>19</w:t>
      </w:r>
      <w:r w:rsidR="00AC52C7" w:rsidRPr="00AC52C7">
        <w:rPr>
          <w:rFonts w:ascii="Calibri" w:eastAsia="Calibri" w:hAnsi="Calibri"/>
          <w:sz w:val="22"/>
          <w:szCs w:val="22"/>
        </w:rPr>
        <w:t>.</w:t>
      </w:r>
    </w:p>
    <w:p w:rsidR="00CD607B" w:rsidRPr="00CD607B" w:rsidRDefault="00CD607B" w:rsidP="00AC52C7">
      <w:pPr>
        <w:bidi w:val="0"/>
        <w:jc w:val="both"/>
        <w:rPr>
          <w:rFonts w:ascii="Calibri" w:eastAsia="Calibri" w:hAnsi="Calibri"/>
          <w:sz w:val="22"/>
          <w:szCs w:val="22"/>
          <w:vertAlign w:val="superscript"/>
        </w:rPr>
      </w:pPr>
      <w:r w:rsidRPr="00CD607B">
        <w:rPr>
          <w:rFonts w:ascii="Calibri" w:eastAsia="Calibri" w:hAnsi="Calibri"/>
          <w:sz w:val="22"/>
          <w:szCs w:val="22"/>
        </w:rPr>
        <w:t>Interleukin-1β (IL-1 β) is a potent pro-inflammatory cytokine that is crucial for host defense responses to infection and injury. IL1 gene variations have been shown to influence the risk of disease progression in many chronic illnesses like SCD, rheumatoid arthritis, inflammatory bowel disease, cardiovascular disease, osteoporosis and periodontitis</w:t>
      </w:r>
      <w:r w:rsidRPr="00CD607B">
        <w:rPr>
          <w:rFonts w:ascii="Calibri" w:eastAsia="Calibri" w:hAnsi="Calibri"/>
          <w:b/>
          <w:sz w:val="22"/>
          <w:szCs w:val="22"/>
        </w:rPr>
        <w:t>.</w:t>
      </w:r>
      <w:r w:rsidRPr="00CD607B">
        <w:rPr>
          <w:rFonts w:ascii="Calibri" w:eastAsia="Calibri" w:hAnsi="Calibri"/>
          <w:sz w:val="22"/>
          <w:szCs w:val="22"/>
        </w:rPr>
        <w:t xml:space="preserve"> The increase in IL-1β cytokine may lead to increase in inflammation. Variations in the upstream region of the IL1B gene have been associated with several diseases and IL1β protein expression</w:t>
      </w:r>
      <w:r w:rsidRPr="00CD607B">
        <w:rPr>
          <w:rFonts w:ascii="Calibri" w:eastAsia="Calibri" w:hAnsi="Calibri"/>
          <w:sz w:val="22"/>
          <w:szCs w:val="22"/>
          <w:vertAlign w:val="superscript"/>
        </w:rPr>
        <w:t>20</w:t>
      </w:r>
      <w:r w:rsidR="00AC52C7">
        <w:rPr>
          <w:rFonts w:ascii="Calibri" w:eastAsia="Calibri" w:hAnsi="Calibri"/>
          <w:sz w:val="22"/>
          <w:szCs w:val="22"/>
        </w:rPr>
        <w:t>.</w:t>
      </w:r>
      <w:r w:rsidRPr="00CD607B">
        <w:rPr>
          <w:rFonts w:ascii="Calibri" w:eastAsia="Calibri" w:hAnsi="Calibri"/>
          <w:sz w:val="22"/>
          <w:szCs w:val="22"/>
        </w:rPr>
        <w:t xml:space="preserve"> IL-1β-mediated diseases are often called “auto-inflammatory” and the dominant finding is the release of the active form of IL-1β driven by endogenous molecules acting on the monocyte/macrophage</w:t>
      </w:r>
      <w:r w:rsidRPr="00CD607B">
        <w:rPr>
          <w:rFonts w:ascii="Calibri" w:eastAsia="Calibri" w:hAnsi="Calibri"/>
          <w:sz w:val="22"/>
          <w:szCs w:val="22"/>
          <w:vertAlign w:val="superscript"/>
        </w:rPr>
        <w:t>21</w:t>
      </w:r>
      <w:r w:rsidR="00AC52C7" w:rsidRPr="00AC52C7">
        <w:rPr>
          <w:rFonts w:ascii="Calibri" w:eastAsia="Calibri" w:hAnsi="Calibri"/>
          <w:sz w:val="22"/>
          <w:szCs w:val="22"/>
        </w:rPr>
        <w:t>.</w:t>
      </w:r>
    </w:p>
    <w:p w:rsidR="00CD607B" w:rsidRPr="00AC52C7" w:rsidRDefault="00CD607B" w:rsidP="00AC52C7">
      <w:pPr>
        <w:bidi w:val="0"/>
        <w:jc w:val="both"/>
        <w:rPr>
          <w:rFonts w:ascii="Calibri" w:eastAsia="Calibri" w:hAnsi="Calibri"/>
          <w:sz w:val="22"/>
          <w:szCs w:val="22"/>
          <w:vertAlign w:val="superscript"/>
        </w:rPr>
      </w:pPr>
      <w:r w:rsidRPr="00CD607B">
        <w:rPr>
          <w:rFonts w:ascii="Calibri" w:eastAsia="Calibri" w:hAnsi="Calibri"/>
          <w:sz w:val="22"/>
          <w:szCs w:val="22"/>
        </w:rPr>
        <w:t xml:space="preserve">To our knowledge, this is the first study to address </w:t>
      </w:r>
      <w:r w:rsidRPr="00AC52C7">
        <w:rPr>
          <w:rFonts w:ascii="Calibri" w:eastAsia="Calibri" w:hAnsi="Calibri"/>
          <w:sz w:val="22"/>
          <w:szCs w:val="22"/>
        </w:rPr>
        <w:t>this type of polymorphism in Egyptian SCD patients. However, an earlier study was conducted among Brazilian patients and their findings were different from ours</w:t>
      </w:r>
      <w:r w:rsidRPr="00AC52C7">
        <w:rPr>
          <w:rFonts w:ascii="Calibri" w:eastAsia="Calibri" w:hAnsi="Calibri"/>
          <w:sz w:val="22"/>
          <w:szCs w:val="22"/>
          <w:vertAlign w:val="superscript"/>
        </w:rPr>
        <w:t>14</w:t>
      </w:r>
      <w:r w:rsidR="00AC52C7" w:rsidRPr="00AC52C7">
        <w:rPr>
          <w:rFonts w:ascii="Calibri" w:eastAsia="Calibri" w:hAnsi="Calibri"/>
          <w:sz w:val="22"/>
          <w:szCs w:val="22"/>
        </w:rPr>
        <w:t>.</w:t>
      </w:r>
    </w:p>
    <w:p w:rsidR="00CD607B" w:rsidRPr="00AC52C7" w:rsidRDefault="00CD607B" w:rsidP="00AC52C7">
      <w:pPr>
        <w:bidi w:val="0"/>
        <w:jc w:val="both"/>
        <w:rPr>
          <w:rFonts w:ascii="Calibri" w:eastAsia="Calibri" w:hAnsi="Calibri"/>
          <w:b/>
          <w:sz w:val="22"/>
          <w:szCs w:val="22"/>
        </w:rPr>
      </w:pPr>
      <w:r w:rsidRPr="00AC52C7">
        <w:rPr>
          <w:rFonts w:ascii="Calibri" w:eastAsia="Calibri" w:hAnsi="Calibri"/>
          <w:sz w:val="22"/>
          <w:szCs w:val="22"/>
        </w:rPr>
        <w:t>Our study revealed that the homozygous mutant TT genotype was significantly higher in cases compared to control group (</w:t>
      </w:r>
      <w:r w:rsidR="00AC52C7" w:rsidRPr="00AC52C7">
        <w:rPr>
          <w:rFonts w:ascii="Calibri" w:eastAsia="Calibri" w:hAnsi="Calibri"/>
          <w:sz w:val="22"/>
          <w:szCs w:val="22"/>
        </w:rPr>
        <w:t>P-</w:t>
      </w:r>
      <w:r w:rsidRPr="00AC52C7">
        <w:rPr>
          <w:rFonts w:ascii="Calibri" w:eastAsia="Calibri" w:hAnsi="Calibri"/>
          <w:sz w:val="22"/>
          <w:szCs w:val="22"/>
        </w:rPr>
        <w:t xml:space="preserve">value= 0.009) (Table 4). Moreover, the frequency of occurrence of the homozygous mutant </w:t>
      </w:r>
      <w:r w:rsidRPr="00AC52C7">
        <w:rPr>
          <w:rFonts w:ascii="Calibri" w:eastAsia="Calibri" w:hAnsi="Calibri"/>
          <w:bCs/>
          <w:iCs/>
          <w:sz w:val="22"/>
          <w:szCs w:val="22"/>
        </w:rPr>
        <w:t>TT</w:t>
      </w:r>
      <w:r w:rsidRPr="00AC52C7">
        <w:rPr>
          <w:rFonts w:ascii="Calibri" w:eastAsia="Calibri" w:hAnsi="Calibri"/>
          <w:iCs/>
          <w:sz w:val="22"/>
          <w:szCs w:val="22"/>
        </w:rPr>
        <w:t xml:space="preserve"> </w:t>
      </w:r>
      <w:r w:rsidRPr="00AC52C7">
        <w:rPr>
          <w:rFonts w:ascii="Calibri" w:eastAsia="Calibri" w:hAnsi="Calibri"/>
          <w:sz w:val="22"/>
          <w:szCs w:val="22"/>
        </w:rPr>
        <w:t xml:space="preserve">genotype versus the combined </w:t>
      </w:r>
      <w:r w:rsidRPr="00AC52C7">
        <w:rPr>
          <w:rFonts w:ascii="Calibri" w:eastAsia="Calibri" w:hAnsi="Calibri"/>
          <w:bCs/>
          <w:iCs/>
          <w:sz w:val="22"/>
          <w:szCs w:val="22"/>
        </w:rPr>
        <w:t>CC</w:t>
      </w:r>
      <w:r w:rsidRPr="00AC52C7">
        <w:rPr>
          <w:rFonts w:ascii="Calibri" w:eastAsia="Calibri" w:hAnsi="Calibri"/>
          <w:sz w:val="22"/>
          <w:szCs w:val="22"/>
        </w:rPr>
        <w:t xml:space="preserve"> and </w:t>
      </w:r>
      <w:r w:rsidRPr="00AC52C7">
        <w:rPr>
          <w:rFonts w:ascii="Calibri" w:eastAsia="Calibri" w:hAnsi="Calibri"/>
          <w:bCs/>
          <w:iCs/>
          <w:sz w:val="22"/>
          <w:szCs w:val="22"/>
        </w:rPr>
        <w:t>CT</w:t>
      </w:r>
      <w:r w:rsidRPr="00AC52C7">
        <w:rPr>
          <w:rFonts w:ascii="Calibri" w:eastAsia="Calibri" w:hAnsi="Calibri"/>
          <w:sz w:val="22"/>
          <w:szCs w:val="22"/>
        </w:rPr>
        <w:t xml:space="preserve"> genotypes was significantly higher among cases than controls </w:t>
      </w:r>
      <w:r w:rsidRPr="00AC52C7">
        <w:rPr>
          <w:rFonts w:ascii="Calibri" w:eastAsia="Calibri" w:hAnsi="Calibri"/>
          <w:i/>
          <w:iCs/>
          <w:sz w:val="22"/>
          <w:szCs w:val="22"/>
        </w:rPr>
        <w:t>(p</w:t>
      </w:r>
      <w:r w:rsidRPr="00AC52C7">
        <w:rPr>
          <w:rFonts w:ascii="Calibri" w:eastAsia="Calibri" w:hAnsi="Calibri"/>
          <w:sz w:val="22"/>
          <w:szCs w:val="22"/>
        </w:rPr>
        <w:t xml:space="preserve"> value: 0.006) (Table 4). These results are different from the results of the study done by </w:t>
      </w:r>
      <w:proofErr w:type="spellStart"/>
      <w:r w:rsidRPr="00AC52C7">
        <w:rPr>
          <w:rFonts w:ascii="Calibri" w:eastAsia="Calibri" w:hAnsi="Calibri"/>
          <w:sz w:val="22"/>
          <w:szCs w:val="22"/>
        </w:rPr>
        <w:t>Vicari</w:t>
      </w:r>
      <w:proofErr w:type="spellEnd"/>
      <w:r w:rsidRPr="00AC52C7">
        <w:rPr>
          <w:rFonts w:ascii="Calibri" w:eastAsia="Calibri" w:hAnsi="Calibri"/>
          <w:sz w:val="22"/>
          <w:szCs w:val="22"/>
        </w:rPr>
        <w:t xml:space="preserve"> et al., 2015 who reported that patients with SCD and the control group had similar IL-1β +3954 genotype distribution</w:t>
      </w:r>
      <w:r w:rsidRPr="00AC52C7">
        <w:rPr>
          <w:rFonts w:ascii="Calibri" w:eastAsia="Calibri" w:hAnsi="Calibri"/>
          <w:sz w:val="22"/>
          <w:szCs w:val="22"/>
          <w:vertAlign w:val="superscript"/>
        </w:rPr>
        <w:t>14</w:t>
      </w:r>
      <w:r w:rsidR="00AC52C7">
        <w:rPr>
          <w:rFonts w:ascii="Calibri" w:eastAsia="Calibri" w:hAnsi="Calibri"/>
          <w:b/>
          <w:sz w:val="22"/>
          <w:szCs w:val="22"/>
        </w:rPr>
        <w:t>.</w:t>
      </w:r>
    </w:p>
    <w:p w:rsidR="00CD607B" w:rsidRPr="00AC52C7" w:rsidRDefault="00CD607B" w:rsidP="00CD607B">
      <w:pPr>
        <w:bidi w:val="0"/>
        <w:jc w:val="both"/>
        <w:rPr>
          <w:rFonts w:ascii="Calibri" w:eastAsia="Calibri" w:hAnsi="Calibri"/>
          <w:sz w:val="22"/>
          <w:szCs w:val="22"/>
          <w:vertAlign w:val="superscript"/>
        </w:rPr>
      </w:pPr>
      <w:r w:rsidRPr="00AC52C7">
        <w:rPr>
          <w:rFonts w:ascii="Calibri" w:eastAsia="Calibri" w:hAnsi="Calibri"/>
          <w:sz w:val="22"/>
          <w:szCs w:val="22"/>
        </w:rPr>
        <w:t xml:space="preserve">However, our study did not show statistically significant difference in allelic distribution between </w:t>
      </w:r>
      <w:r w:rsidRPr="00AC52C7">
        <w:rPr>
          <w:rFonts w:ascii="Calibri" w:eastAsia="Calibri" w:hAnsi="Calibri"/>
          <w:sz w:val="22"/>
          <w:szCs w:val="22"/>
        </w:rPr>
        <w:lastRenderedPageBreak/>
        <w:t xml:space="preserve">cases and controls (p=0.246) (Table 4) and this is similar to the finding of </w:t>
      </w:r>
      <w:proofErr w:type="spellStart"/>
      <w:r w:rsidRPr="00AC52C7">
        <w:rPr>
          <w:rFonts w:ascii="Calibri" w:eastAsia="Calibri" w:hAnsi="Calibri"/>
          <w:sz w:val="22"/>
          <w:szCs w:val="22"/>
        </w:rPr>
        <w:t>Vicari</w:t>
      </w:r>
      <w:proofErr w:type="spellEnd"/>
      <w:r w:rsidRPr="00AC52C7">
        <w:rPr>
          <w:rFonts w:ascii="Calibri" w:eastAsia="Calibri" w:hAnsi="Calibri"/>
          <w:sz w:val="22"/>
          <w:szCs w:val="22"/>
        </w:rPr>
        <w:t xml:space="preserve"> and his colleagues.</w:t>
      </w:r>
      <w:r w:rsidRPr="00AC52C7">
        <w:rPr>
          <w:rFonts w:ascii="Calibri" w:eastAsia="Calibri" w:hAnsi="Calibri"/>
          <w:sz w:val="22"/>
          <w:szCs w:val="22"/>
          <w:vertAlign w:val="superscript"/>
        </w:rPr>
        <w:t>14</w:t>
      </w:r>
    </w:p>
    <w:p w:rsidR="00CD607B" w:rsidRPr="00AC52C7" w:rsidRDefault="00CD607B" w:rsidP="00AC52C7">
      <w:pPr>
        <w:bidi w:val="0"/>
        <w:jc w:val="both"/>
        <w:rPr>
          <w:rFonts w:ascii="Calibri" w:eastAsia="Calibri" w:hAnsi="Calibri"/>
          <w:sz w:val="22"/>
          <w:szCs w:val="22"/>
        </w:rPr>
      </w:pPr>
      <w:r w:rsidRPr="00AC52C7">
        <w:rPr>
          <w:rFonts w:ascii="Calibri" w:eastAsia="Calibri" w:hAnsi="Calibri"/>
          <w:sz w:val="22"/>
          <w:szCs w:val="22"/>
        </w:rPr>
        <w:t xml:space="preserve">The current study showed no association between IL-1β +3954 genotypes and different demographic data as: age; gender; age at diagnosis; height, or weight (Table 4). We did not find a statistically significant difference between IL-1β +3954 genotypes and VOC, osteonecrosis, </w:t>
      </w:r>
      <w:proofErr w:type="spellStart"/>
      <w:r w:rsidRPr="00AC52C7">
        <w:rPr>
          <w:rFonts w:ascii="Calibri" w:eastAsia="Calibri" w:hAnsi="Calibri"/>
          <w:sz w:val="22"/>
          <w:szCs w:val="22"/>
        </w:rPr>
        <w:t>cholelithiasis</w:t>
      </w:r>
      <w:proofErr w:type="spellEnd"/>
      <w:r w:rsidRPr="00AC52C7">
        <w:rPr>
          <w:rFonts w:ascii="Calibri" w:eastAsia="Calibri" w:hAnsi="Calibri"/>
          <w:sz w:val="22"/>
          <w:szCs w:val="22"/>
        </w:rPr>
        <w:t xml:space="preserve"> or laboratory characteristics (Tables 4 &amp; 6). However, a significant association was observed between IL-1β +3954 SNP and mean ESPAP. The mean ESPAP was significantly higher among TT genotype versus the combined genotypes CC + CT (Table 5).  This finding implies that SCD patients with homozygous mutant TT genotype should be more closely monitored for pulmonary hypertension. This confirms the observation of </w:t>
      </w:r>
      <w:proofErr w:type="spellStart"/>
      <w:r w:rsidRPr="00AC52C7">
        <w:rPr>
          <w:rFonts w:ascii="Calibri" w:eastAsia="Calibri" w:hAnsi="Calibri"/>
          <w:sz w:val="22"/>
          <w:szCs w:val="22"/>
        </w:rPr>
        <w:t>Vicari</w:t>
      </w:r>
      <w:proofErr w:type="spellEnd"/>
      <w:r w:rsidRPr="00AC52C7">
        <w:rPr>
          <w:rFonts w:ascii="Calibri" w:eastAsia="Calibri" w:hAnsi="Calibri"/>
          <w:sz w:val="22"/>
          <w:szCs w:val="22"/>
        </w:rPr>
        <w:t xml:space="preserve"> and colleagues who similarly reported that IL-1β +3954C &gt; T SNP was associated with increased risk of elevated pulmonary arterial pressure among SCD Brazilian patients. Interestingly, </w:t>
      </w:r>
      <w:proofErr w:type="spellStart"/>
      <w:r w:rsidRPr="00AC52C7">
        <w:rPr>
          <w:rFonts w:ascii="Calibri" w:eastAsia="Calibri" w:hAnsi="Calibri"/>
          <w:sz w:val="22"/>
          <w:szCs w:val="22"/>
        </w:rPr>
        <w:t>Vicari</w:t>
      </w:r>
      <w:proofErr w:type="spellEnd"/>
      <w:r w:rsidRPr="00AC52C7">
        <w:rPr>
          <w:rFonts w:ascii="Calibri" w:eastAsia="Calibri" w:hAnsi="Calibri"/>
          <w:sz w:val="22"/>
          <w:szCs w:val="22"/>
        </w:rPr>
        <w:t xml:space="preserve"> and colleagues reported increased risk of osteonecrosis among SCD patients carrying IL-1β +3954C &gt; T SNP. This association was discordant with our results. This discordance could be owed to the small number of patients having this complication in our SCD population</w:t>
      </w:r>
      <w:r w:rsidRPr="00AC52C7">
        <w:rPr>
          <w:rFonts w:ascii="Calibri" w:eastAsia="Calibri" w:hAnsi="Calibri"/>
          <w:sz w:val="22"/>
          <w:szCs w:val="22"/>
          <w:vertAlign w:val="superscript"/>
        </w:rPr>
        <w:t>14</w:t>
      </w:r>
      <w:r w:rsidR="00AC52C7" w:rsidRPr="00AC52C7">
        <w:rPr>
          <w:rFonts w:ascii="Calibri" w:eastAsia="Calibri" w:hAnsi="Calibri"/>
          <w:sz w:val="22"/>
          <w:szCs w:val="22"/>
        </w:rPr>
        <w:t>.</w:t>
      </w:r>
    </w:p>
    <w:p w:rsidR="00CD607B" w:rsidRPr="00AC52C7" w:rsidRDefault="00CD607B" w:rsidP="00CD607B">
      <w:pPr>
        <w:bidi w:val="0"/>
        <w:ind w:left="720"/>
        <w:jc w:val="both"/>
        <w:rPr>
          <w:rFonts w:ascii="Calibri" w:eastAsia="Calibri" w:hAnsi="Calibri"/>
          <w:b/>
          <w:sz w:val="22"/>
          <w:szCs w:val="22"/>
        </w:rPr>
      </w:pPr>
    </w:p>
    <w:p w:rsidR="00CD607B" w:rsidRPr="00AC52C7" w:rsidRDefault="004673DC" w:rsidP="00AA4892">
      <w:pPr>
        <w:bidi w:val="0"/>
        <w:jc w:val="both"/>
        <w:rPr>
          <w:rFonts w:ascii="Calibri" w:eastAsia="Calibri" w:hAnsi="Calibri"/>
          <w:b/>
          <w:sz w:val="22"/>
          <w:szCs w:val="22"/>
        </w:rPr>
      </w:pPr>
      <w:r w:rsidRPr="00AC52C7">
        <w:rPr>
          <w:rFonts w:ascii="Calibri" w:eastAsia="Calibri" w:hAnsi="Calibri"/>
          <w:b/>
          <w:sz w:val="22"/>
          <w:szCs w:val="22"/>
        </w:rPr>
        <w:t>CONCLUSION</w:t>
      </w:r>
    </w:p>
    <w:p w:rsidR="00CD607B" w:rsidRPr="00CD607B" w:rsidRDefault="004673DC" w:rsidP="00CD607B">
      <w:pPr>
        <w:bidi w:val="0"/>
        <w:jc w:val="both"/>
        <w:rPr>
          <w:rFonts w:ascii="Calibri" w:eastAsia="Calibri" w:hAnsi="Calibri"/>
          <w:sz w:val="22"/>
          <w:szCs w:val="22"/>
        </w:rPr>
      </w:pPr>
      <w:r>
        <w:rPr>
          <w:rFonts w:ascii="Calibri" w:eastAsia="Calibri" w:hAnsi="Calibri"/>
          <w:sz w:val="22"/>
          <w:szCs w:val="22"/>
        </w:rPr>
        <w:t xml:space="preserve">   </w:t>
      </w:r>
      <w:r w:rsidR="00CD607B" w:rsidRPr="00CD607B">
        <w:rPr>
          <w:rFonts w:ascii="Calibri" w:eastAsia="Calibri" w:hAnsi="Calibri"/>
          <w:sz w:val="22"/>
          <w:szCs w:val="22"/>
        </w:rPr>
        <w:t xml:space="preserve">The present study showed that there is an increased prevalence of the mutant genotype of IL-1β +3954 SNP in Egyptian SCD patients. Regarding disease complications, the mutant genotype was more prevalent in cases complicated by pulmonary hypertension. These findings point to the possible role of IL-1β +3954 SNP in the pathophysiology of the disease and its manifestations.  Expansion of this study on a larger number of patients is recommended for further reinforcement of our results; as well as study of other genes related to disease susceptibility and prognosis in the Egyptian population.   Further testing is required to determine the validity of the shown association between the mutant IL-1β genotypes </w:t>
      </w:r>
      <w:r w:rsidR="00CD607B" w:rsidRPr="00CD607B">
        <w:rPr>
          <w:rFonts w:ascii="Calibri" w:eastAsia="Calibri" w:hAnsi="Calibri"/>
          <w:iCs/>
          <w:sz w:val="22"/>
          <w:szCs w:val="22"/>
        </w:rPr>
        <w:t>TT, CT</w:t>
      </w:r>
      <w:r w:rsidR="00CD607B" w:rsidRPr="00CD607B">
        <w:rPr>
          <w:rFonts w:ascii="Calibri" w:eastAsia="Calibri" w:hAnsi="Calibri"/>
          <w:sz w:val="22"/>
          <w:szCs w:val="22"/>
        </w:rPr>
        <w:t xml:space="preserve"> and the occurrence of other complications (leg ulcer, priapism, acute chest syndrome, splenic sequestration, retinopathy and stroke) in SCD patients</w:t>
      </w:r>
      <w:r w:rsidR="00CD607B">
        <w:rPr>
          <w:rFonts w:ascii="Calibri" w:eastAsia="Calibri" w:hAnsi="Calibri"/>
          <w:sz w:val="22"/>
          <w:szCs w:val="22"/>
        </w:rPr>
        <w:t>.</w:t>
      </w:r>
      <w:r w:rsidR="00CD607B" w:rsidRPr="00CD607B">
        <w:rPr>
          <w:rFonts w:ascii="Calibri" w:eastAsia="Calibri" w:hAnsi="Calibri"/>
          <w:sz w:val="22"/>
          <w:szCs w:val="22"/>
        </w:rPr>
        <w:t xml:space="preserve"> </w:t>
      </w:r>
    </w:p>
    <w:p w:rsidR="00CD607B"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b/>
          <w:bCs/>
          <w:sz w:val="20"/>
          <w:szCs w:val="20"/>
        </w:rPr>
      </w:pPr>
      <w:r w:rsidRPr="00265A1D">
        <w:rPr>
          <w:rFonts w:ascii="Calibri" w:eastAsia="Calibri" w:hAnsi="Calibri"/>
          <w:b/>
          <w:bCs/>
          <w:sz w:val="20"/>
          <w:szCs w:val="20"/>
        </w:rPr>
        <w:lastRenderedPageBreak/>
        <w:t>REFERE</w:t>
      </w:r>
      <w:bookmarkStart w:id="1" w:name="_GoBack"/>
      <w:bookmarkEnd w:id="1"/>
      <w:r w:rsidRPr="00265A1D">
        <w:rPr>
          <w:rFonts w:ascii="Calibri" w:eastAsia="Calibri" w:hAnsi="Calibri"/>
          <w:b/>
          <w:bCs/>
          <w:sz w:val="20"/>
          <w:szCs w:val="20"/>
        </w:rPr>
        <w:t>NCES</w:t>
      </w:r>
    </w:p>
    <w:p w:rsidR="00CD607B" w:rsidRPr="00265A1D" w:rsidRDefault="00CD607B" w:rsidP="00146E96">
      <w:pPr>
        <w:bidi w:val="0"/>
        <w:jc w:val="both"/>
        <w:rPr>
          <w:rFonts w:ascii="Calibri" w:eastAsia="Calibri" w:hAnsi="Calibri"/>
          <w:sz w:val="20"/>
          <w:szCs w:val="20"/>
        </w:rPr>
      </w:pPr>
      <w:r w:rsidRPr="00265A1D">
        <w:rPr>
          <w:rFonts w:ascii="Calibri" w:eastAsia="Calibri" w:hAnsi="Calibri"/>
          <w:sz w:val="20"/>
          <w:szCs w:val="20"/>
        </w:rPr>
        <w:t>1</w:t>
      </w:r>
      <w:r w:rsidR="008256B6" w:rsidRPr="00265A1D">
        <w:rPr>
          <w:rFonts w:ascii="Calibri" w:eastAsia="Calibri" w:hAnsi="Calibri"/>
          <w:sz w:val="20"/>
          <w:szCs w:val="20"/>
        </w:rPr>
        <w:t>.</w:t>
      </w:r>
      <w:r w:rsidR="00403BEF" w:rsidRPr="00265A1D">
        <w:t xml:space="preserve"> </w:t>
      </w:r>
      <w:hyperlink r:id="rId16" w:history="1">
        <w:proofErr w:type="spellStart"/>
        <w:r w:rsidR="00403BEF" w:rsidRPr="00265A1D">
          <w:rPr>
            <w:rStyle w:val="Hyperlink"/>
            <w:rFonts w:ascii="Calibri" w:eastAsia="Calibri" w:hAnsi="Calibri"/>
            <w:color w:val="auto"/>
            <w:sz w:val="20"/>
            <w:szCs w:val="20"/>
          </w:rPr>
          <w:t>Sonati</w:t>
        </w:r>
        <w:proofErr w:type="spellEnd"/>
        <w:r w:rsidR="00403BEF" w:rsidRPr="00265A1D">
          <w:rPr>
            <w:rStyle w:val="Hyperlink"/>
            <w:rFonts w:ascii="Calibri" w:eastAsia="Calibri" w:hAnsi="Calibri"/>
            <w:color w:val="auto"/>
            <w:sz w:val="20"/>
            <w:szCs w:val="20"/>
          </w:rPr>
          <w:t xml:space="preserve"> </w:t>
        </w:r>
        <w:proofErr w:type="spellStart"/>
        <w:r w:rsidR="00403BEF" w:rsidRPr="00265A1D">
          <w:rPr>
            <w:rStyle w:val="Hyperlink"/>
            <w:rFonts w:ascii="Calibri" w:eastAsia="Calibri" w:hAnsi="Calibri"/>
            <w:color w:val="auto"/>
            <w:sz w:val="20"/>
            <w:szCs w:val="20"/>
          </w:rPr>
          <w:t>Mde</w:t>
        </w:r>
        <w:proofErr w:type="spellEnd"/>
        <w:r w:rsidR="00403BEF" w:rsidRPr="00265A1D">
          <w:rPr>
            <w:rStyle w:val="Hyperlink"/>
            <w:rFonts w:ascii="Calibri" w:eastAsia="Calibri" w:hAnsi="Calibri"/>
            <w:color w:val="auto"/>
            <w:sz w:val="20"/>
            <w:szCs w:val="20"/>
          </w:rPr>
          <w:t xml:space="preserve"> F</w:t>
        </w:r>
      </w:hyperlink>
      <w:r w:rsidR="00403BEF" w:rsidRPr="00265A1D">
        <w:rPr>
          <w:rFonts w:ascii="Calibri" w:eastAsia="Calibri" w:hAnsi="Calibri"/>
          <w:sz w:val="20"/>
          <w:szCs w:val="20"/>
        </w:rPr>
        <w:t xml:space="preserve">, </w:t>
      </w:r>
      <w:hyperlink r:id="rId17" w:history="1">
        <w:r w:rsidR="00403BEF" w:rsidRPr="00265A1D">
          <w:rPr>
            <w:rStyle w:val="Hyperlink"/>
            <w:rFonts w:ascii="Calibri" w:eastAsia="Calibri" w:hAnsi="Calibri"/>
            <w:color w:val="auto"/>
            <w:sz w:val="20"/>
            <w:szCs w:val="20"/>
          </w:rPr>
          <w:t>Costa FF</w:t>
        </w:r>
      </w:hyperlink>
      <w:r w:rsidR="00146E96" w:rsidRPr="00265A1D">
        <w:rPr>
          <w:rFonts w:ascii="Calibri" w:eastAsia="Calibri" w:hAnsi="Calibri"/>
          <w:sz w:val="20"/>
          <w:szCs w:val="20"/>
        </w:rPr>
        <w:t>.</w:t>
      </w:r>
      <w:r w:rsidRPr="00265A1D">
        <w:rPr>
          <w:rFonts w:ascii="Calibri" w:eastAsia="Calibri" w:hAnsi="Calibri"/>
          <w:sz w:val="20"/>
          <w:szCs w:val="20"/>
        </w:rPr>
        <w:t xml:space="preserve"> The genetics of blood disorders: hereditary </w:t>
      </w:r>
      <w:proofErr w:type="spellStart"/>
      <w:r w:rsidRPr="00265A1D">
        <w:rPr>
          <w:rFonts w:ascii="Calibri" w:eastAsia="Calibri" w:hAnsi="Calibri"/>
          <w:sz w:val="20"/>
          <w:szCs w:val="20"/>
        </w:rPr>
        <w:t>hemoglobinopathies</w:t>
      </w:r>
      <w:proofErr w:type="spellEnd"/>
      <w:r w:rsidRPr="00265A1D">
        <w:rPr>
          <w:rFonts w:ascii="Calibri" w:eastAsia="Calibri" w:hAnsi="Calibri"/>
          <w:sz w:val="20"/>
          <w:szCs w:val="20"/>
        </w:rPr>
        <w:t xml:space="preserve">. J </w:t>
      </w:r>
      <w:proofErr w:type="spellStart"/>
      <w:r w:rsidRPr="00265A1D">
        <w:rPr>
          <w:rFonts w:ascii="Calibri" w:eastAsia="Calibri" w:hAnsi="Calibri"/>
          <w:sz w:val="20"/>
          <w:szCs w:val="20"/>
        </w:rPr>
        <w:t>Pediatr</w:t>
      </w:r>
      <w:proofErr w:type="spellEnd"/>
      <w:r w:rsidRPr="00265A1D">
        <w:rPr>
          <w:rFonts w:ascii="Calibri" w:eastAsia="Calibri" w:hAnsi="Calibri"/>
          <w:sz w:val="20"/>
          <w:szCs w:val="20"/>
        </w:rPr>
        <w:t xml:space="preserve"> (Rio J)</w:t>
      </w:r>
      <w:r w:rsidR="00146E96" w:rsidRPr="00265A1D">
        <w:rPr>
          <w:rFonts w:ascii="Calibri" w:eastAsia="Calibri" w:hAnsi="Calibri"/>
          <w:sz w:val="20"/>
          <w:szCs w:val="20"/>
        </w:rPr>
        <w:t>.</w:t>
      </w:r>
      <w:r w:rsidRPr="00265A1D">
        <w:rPr>
          <w:rFonts w:ascii="Calibri" w:eastAsia="Calibri" w:hAnsi="Calibri"/>
          <w:sz w:val="20"/>
          <w:szCs w:val="20"/>
        </w:rPr>
        <w:t xml:space="preserve"> 2008</w:t>
      </w:r>
      <w:r w:rsidR="00146E96" w:rsidRPr="00265A1D">
        <w:rPr>
          <w:rFonts w:ascii="Calibri" w:eastAsia="Calibri" w:hAnsi="Calibri"/>
          <w:sz w:val="20"/>
          <w:szCs w:val="20"/>
        </w:rPr>
        <w:t>;</w:t>
      </w:r>
      <w:r w:rsidRPr="00265A1D">
        <w:rPr>
          <w:rFonts w:ascii="Calibri" w:eastAsia="Calibri" w:hAnsi="Calibri"/>
          <w:sz w:val="20"/>
          <w:szCs w:val="20"/>
        </w:rPr>
        <w:t xml:space="preserve"> 84 (4</w:t>
      </w:r>
      <w:r w:rsidR="002A5628" w:rsidRPr="00265A1D">
        <w:rPr>
          <w:rFonts w:ascii="Calibri" w:eastAsia="Calibri" w:hAnsi="Calibri"/>
          <w:sz w:val="20"/>
          <w:szCs w:val="20"/>
        </w:rPr>
        <w:t xml:space="preserve"> </w:t>
      </w:r>
      <w:proofErr w:type="spellStart"/>
      <w:r w:rsidR="002A5628" w:rsidRPr="00265A1D">
        <w:rPr>
          <w:rFonts w:ascii="Calibri" w:eastAsia="Calibri" w:hAnsi="Calibri"/>
          <w:sz w:val="20"/>
          <w:szCs w:val="20"/>
        </w:rPr>
        <w:t>Suppl</w:t>
      </w:r>
      <w:proofErr w:type="spellEnd"/>
      <w:r w:rsidRPr="00265A1D">
        <w:rPr>
          <w:rFonts w:ascii="Calibri" w:eastAsia="Calibri" w:hAnsi="Calibri"/>
          <w:sz w:val="20"/>
          <w:szCs w:val="20"/>
        </w:rPr>
        <w:t>): S40–51.</w:t>
      </w:r>
    </w:p>
    <w:p w:rsidR="00CD607B" w:rsidRPr="00265A1D" w:rsidRDefault="00CD607B" w:rsidP="00E83B2B">
      <w:pPr>
        <w:bidi w:val="0"/>
        <w:jc w:val="both"/>
        <w:rPr>
          <w:rFonts w:ascii="Calibri" w:eastAsia="Calibri" w:hAnsi="Calibri"/>
          <w:sz w:val="20"/>
          <w:szCs w:val="20"/>
        </w:rPr>
      </w:pPr>
      <w:r w:rsidRPr="00265A1D">
        <w:rPr>
          <w:rFonts w:ascii="Calibri" w:eastAsia="Calibri" w:hAnsi="Calibri"/>
          <w:sz w:val="20"/>
          <w:szCs w:val="20"/>
        </w:rPr>
        <w:t xml:space="preserve">2. </w:t>
      </w:r>
      <w:proofErr w:type="spellStart"/>
      <w:r w:rsidRPr="00265A1D">
        <w:rPr>
          <w:rFonts w:ascii="Calibri" w:eastAsia="Calibri" w:hAnsi="Calibri"/>
          <w:sz w:val="20"/>
          <w:szCs w:val="20"/>
        </w:rPr>
        <w:t>Conran</w:t>
      </w:r>
      <w:proofErr w:type="spellEnd"/>
      <w:r w:rsidRPr="00265A1D">
        <w:rPr>
          <w:rFonts w:ascii="Calibri" w:eastAsia="Calibri" w:hAnsi="Calibri"/>
          <w:sz w:val="20"/>
          <w:szCs w:val="20"/>
        </w:rPr>
        <w:t xml:space="preserve"> N, Franco-</w:t>
      </w:r>
      <w:proofErr w:type="spellStart"/>
      <w:r w:rsidRPr="00265A1D">
        <w:rPr>
          <w:rFonts w:ascii="Calibri" w:eastAsia="Calibri" w:hAnsi="Calibri"/>
          <w:sz w:val="20"/>
          <w:szCs w:val="20"/>
        </w:rPr>
        <w:t>Penteado</w:t>
      </w:r>
      <w:proofErr w:type="spellEnd"/>
      <w:r w:rsidRPr="00265A1D">
        <w:rPr>
          <w:rFonts w:ascii="Calibri" w:eastAsia="Calibri" w:hAnsi="Calibri"/>
          <w:sz w:val="20"/>
          <w:szCs w:val="20"/>
        </w:rPr>
        <w:t xml:space="preserve"> CF</w:t>
      </w:r>
      <w:r w:rsidR="00146E96" w:rsidRPr="00265A1D">
        <w:rPr>
          <w:rFonts w:ascii="Calibri" w:eastAsia="Calibri" w:hAnsi="Calibri"/>
          <w:sz w:val="20"/>
          <w:szCs w:val="20"/>
        </w:rPr>
        <w:t>,</w:t>
      </w:r>
      <w:r w:rsidRPr="00265A1D">
        <w:rPr>
          <w:rFonts w:ascii="Calibri" w:eastAsia="Calibri" w:hAnsi="Calibri"/>
          <w:sz w:val="20"/>
          <w:szCs w:val="20"/>
        </w:rPr>
        <w:t xml:space="preserve"> Costa FF. Newer aspects of the pathophysiology of sickle cell disease </w:t>
      </w:r>
      <w:proofErr w:type="spellStart"/>
      <w:r w:rsidRPr="00265A1D">
        <w:rPr>
          <w:rFonts w:ascii="Calibri" w:eastAsia="Calibri" w:hAnsi="Calibri"/>
          <w:sz w:val="20"/>
          <w:szCs w:val="20"/>
        </w:rPr>
        <w:t>vaso</w:t>
      </w:r>
      <w:proofErr w:type="spellEnd"/>
      <w:r w:rsidRPr="00265A1D">
        <w:rPr>
          <w:rFonts w:ascii="Calibri" w:eastAsia="Calibri" w:hAnsi="Calibri"/>
          <w:sz w:val="20"/>
          <w:szCs w:val="20"/>
        </w:rPr>
        <w:t>-occlusion. Hemoglobin</w:t>
      </w:r>
      <w:r w:rsidR="004C3646" w:rsidRPr="00265A1D">
        <w:rPr>
          <w:rFonts w:ascii="Calibri" w:eastAsia="Calibri" w:hAnsi="Calibri"/>
          <w:sz w:val="20"/>
          <w:szCs w:val="20"/>
        </w:rPr>
        <w:t>.</w:t>
      </w:r>
      <w:r w:rsidR="00E83B2B" w:rsidRPr="00265A1D">
        <w:t xml:space="preserve"> </w:t>
      </w:r>
      <w:r w:rsidR="00E83B2B" w:rsidRPr="00265A1D">
        <w:rPr>
          <w:rFonts w:ascii="Calibri" w:eastAsia="Calibri" w:hAnsi="Calibri"/>
          <w:sz w:val="20"/>
          <w:szCs w:val="20"/>
        </w:rPr>
        <w:t>2009; 33(1):1-16.</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3. </w:t>
      </w:r>
      <w:proofErr w:type="spellStart"/>
      <w:r w:rsidRPr="00265A1D">
        <w:rPr>
          <w:rFonts w:ascii="Calibri" w:eastAsia="Calibri" w:hAnsi="Calibri"/>
          <w:sz w:val="20"/>
          <w:szCs w:val="20"/>
        </w:rPr>
        <w:t>Aygun</w:t>
      </w:r>
      <w:proofErr w:type="spellEnd"/>
      <w:r w:rsidRPr="00265A1D">
        <w:rPr>
          <w:rFonts w:ascii="Calibri" w:eastAsia="Calibri" w:hAnsi="Calibri"/>
          <w:sz w:val="20"/>
          <w:szCs w:val="20"/>
        </w:rPr>
        <w:t xml:space="preserve"> B</w:t>
      </w:r>
      <w:r w:rsidR="008256B6" w:rsidRPr="00265A1D">
        <w:rPr>
          <w:rFonts w:ascii="Calibri" w:eastAsia="Calibri" w:hAnsi="Calibri"/>
          <w:sz w:val="20"/>
          <w:szCs w:val="20"/>
        </w:rPr>
        <w:t xml:space="preserve">, </w:t>
      </w:r>
      <w:proofErr w:type="spellStart"/>
      <w:r w:rsidRPr="00265A1D">
        <w:rPr>
          <w:rFonts w:ascii="Calibri" w:eastAsia="Calibri" w:hAnsi="Calibri"/>
          <w:sz w:val="20"/>
          <w:szCs w:val="20"/>
        </w:rPr>
        <w:t>Odame</w:t>
      </w:r>
      <w:proofErr w:type="spellEnd"/>
      <w:r w:rsidRPr="00265A1D">
        <w:rPr>
          <w:rFonts w:ascii="Calibri" w:eastAsia="Calibri" w:hAnsi="Calibri"/>
          <w:sz w:val="20"/>
          <w:szCs w:val="20"/>
        </w:rPr>
        <w:t xml:space="preserve"> I. A global perspective on sickle cell disease. </w:t>
      </w:r>
      <w:hyperlink r:id="rId18" w:tooltip="Pediatric blood &amp; cancer." w:history="1">
        <w:proofErr w:type="spellStart"/>
        <w:r w:rsidR="008256B6" w:rsidRPr="00265A1D">
          <w:rPr>
            <w:rStyle w:val="Hyperlink"/>
            <w:rFonts w:ascii="Calibri" w:eastAsia="Calibri" w:hAnsi="Calibri"/>
            <w:color w:val="auto"/>
            <w:sz w:val="20"/>
            <w:szCs w:val="20"/>
          </w:rPr>
          <w:t>Pediatr</w:t>
        </w:r>
        <w:proofErr w:type="spellEnd"/>
        <w:r w:rsidR="008256B6" w:rsidRPr="00265A1D">
          <w:rPr>
            <w:rStyle w:val="Hyperlink"/>
            <w:rFonts w:ascii="Calibri" w:eastAsia="Calibri" w:hAnsi="Calibri"/>
            <w:color w:val="auto"/>
            <w:sz w:val="20"/>
            <w:szCs w:val="20"/>
          </w:rPr>
          <w:t xml:space="preserve"> Blood Cancer.</w:t>
        </w:r>
      </w:hyperlink>
      <w:r w:rsidR="008256B6" w:rsidRPr="00265A1D">
        <w:rPr>
          <w:rFonts w:ascii="Calibri" w:eastAsia="Calibri" w:hAnsi="Calibri"/>
          <w:sz w:val="20"/>
          <w:szCs w:val="20"/>
        </w:rPr>
        <w:t xml:space="preserve"> 2012; 59(2):386-90</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4. </w:t>
      </w:r>
      <w:proofErr w:type="spellStart"/>
      <w:r w:rsidRPr="00265A1D">
        <w:rPr>
          <w:rFonts w:ascii="Calibri" w:eastAsia="Calibri" w:hAnsi="Calibri"/>
          <w:sz w:val="20"/>
          <w:szCs w:val="20"/>
        </w:rPr>
        <w:t>Agasa</w:t>
      </w:r>
      <w:proofErr w:type="spellEnd"/>
      <w:r w:rsidRPr="00265A1D">
        <w:rPr>
          <w:rFonts w:ascii="Calibri" w:eastAsia="Calibri" w:hAnsi="Calibri"/>
          <w:sz w:val="20"/>
          <w:szCs w:val="20"/>
        </w:rPr>
        <w:t xml:space="preserve"> B, </w:t>
      </w:r>
      <w:proofErr w:type="spellStart"/>
      <w:r w:rsidRPr="00265A1D">
        <w:rPr>
          <w:rFonts w:ascii="Calibri" w:eastAsia="Calibri" w:hAnsi="Calibri"/>
          <w:sz w:val="20"/>
          <w:szCs w:val="20"/>
        </w:rPr>
        <w:t>Bosunga</w:t>
      </w:r>
      <w:proofErr w:type="spellEnd"/>
      <w:r w:rsidRPr="00265A1D">
        <w:rPr>
          <w:rFonts w:ascii="Calibri" w:eastAsia="Calibri" w:hAnsi="Calibri"/>
          <w:sz w:val="20"/>
          <w:szCs w:val="20"/>
        </w:rPr>
        <w:t xml:space="preserve"> K, </w:t>
      </w:r>
      <w:proofErr w:type="spellStart"/>
      <w:proofErr w:type="gramStart"/>
      <w:r w:rsidRPr="00265A1D">
        <w:rPr>
          <w:rFonts w:ascii="Calibri" w:eastAsia="Calibri" w:hAnsi="Calibri"/>
          <w:sz w:val="20"/>
          <w:szCs w:val="20"/>
        </w:rPr>
        <w:t>Opara</w:t>
      </w:r>
      <w:proofErr w:type="spellEnd"/>
      <w:proofErr w:type="gramEnd"/>
      <w:r w:rsidRPr="00265A1D">
        <w:rPr>
          <w:rFonts w:ascii="Calibri" w:eastAsia="Calibri" w:hAnsi="Calibri"/>
          <w:sz w:val="20"/>
          <w:szCs w:val="20"/>
        </w:rPr>
        <w:t xml:space="preserve"> A, et al. Prevalence of sickle cell disease in a northeastern region of the Democratic Republic of Congo: What impact on transfusion policy? </w:t>
      </w:r>
      <w:hyperlink r:id="rId19" w:tooltip="Transfusion medicine (Oxford, England)." w:history="1">
        <w:proofErr w:type="spellStart"/>
        <w:r w:rsidR="008256B6" w:rsidRPr="00265A1D">
          <w:rPr>
            <w:rStyle w:val="Hyperlink"/>
            <w:rFonts w:ascii="Calibri" w:eastAsia="Calibri" w:hAnsi="Calibri"/>
            <w:color w:val="auto"/>
            <w:sz w:val="20"/>
            <w:szCs w:val="20"/>
          </w:rPr>
          <w:t>Transfus</w:t>
        </w:r>
        <w:proofErr w:type="spellEnd"/>
        <w:r w:rsidR="008256B6" w:rsidRPr="00265A1D">
          <w:rPr>
            <w:rStyle w:val="Hyperlink"/>
            <w:rFonts w:ascii="Calibri" w:eastAsia="Calibri" w:hAnsi="Calibri"/>
            <w:color w:val="auto"/>
            <w:sz w:val="20"/>
            <w:szCs w:val="20"/>
          </w:rPr>
          <w:t xml:space="preserve"> Med.</w:t>
        </w:r>
      </w:hyperlink>
      <w:r w:rsidR="008256B6" w:rsidRPr="00265A1D">
        <w:rPr>
          <w:rFonts w:ascii="Calibri" w:eastAsia="Calibri" w:hAnsi="Calibri"/>
          <w:sz w:val="20"/>
          <w:szCs w:val="20"/>
        </w:rPr>
        <w:t xml:space="preserve"> 2010; 20(1):62-5.</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5.</w:t>
      </w:r>
      <w:r w:rsidR="008256B6" w:rsidRPr="00265A1D">
        <w:rPr>
          <w:rFonts w:ascii="Calibri" w:eastAsia="Calibri" w:hAnsi="Calibri"/>
          <w:sz w:val="20"/>
          <w:szCs w:val="20"/>
        </w:rPr>
        <w:t xml:space="preserve"> </w:t>
      </w:r>
      <w:r w:rsidRPr="00265A1D">
        <w:rPr>
          <w:rFonts w:ascii="Calibri" w:eastAsia="Calibri" w:hAnsi="Calibri"/>
          <w:sz w:val="20"/>
          <w:szCs w:val="20"/>
        </w:rPr>
        <w:t>El-</w:t>
      </w:r>
      <w:proofErr w:type="spellStart"/>
      <w:r w:rsidRPr="00265A1D">
        <w:rPr>
          <w:rFonts w:ascii="Calibri" w:eastAsia="Calibri" w:hAnsi="Calibri"/>
          <w:sz w:val="20"/>
          <w:szCs w:val="20"/>
        </w:rPr>
        <w:t>Beshlawy</w:t>
      </w:r>
      <w:proofErr w:type="spellEnd"/>
      <w:r w:rsidRPr="00265A1D">
        <w:rPr>
          <w:rFonts w:ascii="Calibri" w:eastAsia="Calibri" w:hAnsi="Calibri"/>
          <w:sz w:val="20"/>
          <w:szCs w:val="20"/>
        </w:rPr>
        <w:t xml:space="preserve"> A</w:t>
      </w:r>
      <w:r w:rsidR="008256B6" w:rsidRPr="00265A1D">
        <w:rPr>
          <w:rFonts w:ascii="Calibri" w:eastAsia="Calibri" w:hAnsi="Calibri"/>
          <w:sz w:val="20"/>
          <w:szCs w:val="20"/>
        </w:rPr>
        <w:t xml:space="preserve">, </w:t>
      </w:r>
      <w:proofErr w:type="spellStart"/>
      <w:r w:rsidR="008256B6" w:rsidRPr="00265A1D">
        <w:rPr>
          <w:rFonts w:ascii="Calibri" w:eastAsia="Calibri" w:hAnsi="Calibri"/>
          <w:sz w:val="20"/>
          <w:szCs w:val="20"/>
        </w:rPr>
        <w:t>Youssry</w:t>
      </w:r>
      <w:proofErr w:type="spellEnd"/>
      <w:r w:rsidRPr="00265A1D">
        <w:rPr>
          <w:rFonts w:ascii="Calibri" w:eastAsia="Calibri" w:hAnsi="Calibri"/>
          <w:sz w:val="20"/>
          <w:szCs w:val="20"/>
        </w:rPr>
        <w:t xml:space="preserve"> I. Prevention of </w:t>
      </w:r>
      <w:proofErr w:type="spellStart"/>
      <w:r w:rsidRPr="00265A1D">
        <w:rPr>
          <w:rFonts w:ascii="Calibri" w:eastAsia="Calibri" w:hAnsi="Calibri"/>
          <w:sz w:val="20"/>
          <w:szCs w:val="20"/>
        </w:rPr>
        <w:t>hemoglobinopathies</w:t>
      </w:r>
      <w:proofErr w:type="spellEnd"/>
      <w:r w:rsidRPr="00265A1D">
        <w:rPr>
          <w:rFonts w:ascii="Calibri" w:eastAsia="Calibri" w:hAnsi="Calibri"/>
          <w:sz w:val="20"/>
          <w:szCs w:val="20"/>
        </w:rPr>
        <w:t xml:space="preserve"> in Egypt. </w:t>
      </w:r>
      <w:hyperlink r:id="rId20" w:tooltip="Hemoglobin." w:history="1">
        <w:r w:rsidR="008256B6" w:rsidRPr="00265A1D">
          <w:rPr>
            <w:rStyle w:val="Hyperlink"/>
            <w:rFonts w:ascii="Calibri" w:eastAsia="Calibri" w:hAnsi="Calibri"/>
            <w:color w:val="auto"/>
            <w:sz w:val="20"/>
            <w:szCs w:val="20"/>
          </w:rPr>
          <w:t>Hemoglobin.</w:t>
        </w:r>
      </w:hyperlink>
      <w:r w:rsidR="008256B6" w:rsidRPr="00265A1D">
        <w:rPr>
          <w:rFonts w:ascii="Calibri" w:eastAsia="Calibri" w:hAnsi="Calibri"/>
          <w:sz w:val="20"/>
          <w:szCs w:val="20"/>
        </w:rPr>
        <w:t xml:space="preserve"> 2009; 33 </w:t>
      </w:r>
      <w:proofErr w:type="spellStart"/>
      <w:r w:rsidR="008256B6" w:rsidRPr="00265A1D">
        <w:rPr>
          <w:rFonts w:ascii="Calibri" w:eastAsia="Calibri" w:hAnsi="Calibri"/>
          <w:sz w:val="20"/>
          <w:szCs w:val="20"/>
        </w:rPr>
        <w:t>Suppl</w:t>
      </w:r>
      <w:proofErr w:type="spellEnd"/>
      <w:r w:rsidR="008256B6" w:rsidRPr="00265A1D">
        <w:rPr>
          <w:rFonts w:ascii="Calibri" w:eastAsia="Calibri" w:hAnsi="Calibri"/>
          <w:sz w:val="20"/>
          <w:szCs w:val="20"/>
        </w:rPr>
        <w:t xml:space="preserve"> 1:S14-20.</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6. </w:t>
      </w:r>
      <w:proofErr w:type="spellStart"/>
      <w:r w:rsidRPr="00265A1D">
        <w:rPr>
          <w:rFonts w:ascii="Calibri" w:eastAsia="Calibri" w:hAnsi="Calibri"/>
          <w:sz w:val="20"/>
          <w:szCs w:val="20"/>
        </w:rPr>
        <w:t>Abbasy</w:t>
      </w:r>
      <w:proofErr w:type="spellEnd"/>
      <w:r w:rsidRPr="00265A1D">
        <w:rPr>
          <w:rFonts w:ascii="Calibri" w:eastAsia="Calibri" w:hAnsi="Calibri"/>
          <w:sz w:val="20"/>
          <w:szCs w:val="20"/>
        </w:rPr>
        <w:t xml:space="preserve"> AS. Sickle cell anemia; first case reported from Egypt.</w:t>
      </w:r>
      <w:r w:rsidR="008256B6" w:rsidRPr="00265A1D">
        <w:t xml:space="preserve"> </w:t>
      </w:r>
      <w:hyperlink r:id="rId21" w:tooltip="Blood." w:history="1">
        <w:r w:rsidR="008256B6" w:rsidRPr="00265A1D">
          <w:rPr>
            <w:rStyle w:val="Hyperlink"/>
            <w:rFonts w:ascii="Calibri" w:eastAsia="Calibri" w:hAnsi="Calibri"/>
            <w:color w:val="auto"/>
            <w:sz w:val="20"/>
            <w:szCs w:val="20"/>
          </w:rPr>
          <w:t>Blood.</w:t>
        </w:r>
      </w:hyperlink>
      <w:r w:rsidR="008256B6" w:rsidRPr="00265A1D">
        <w:rPr>
          <w:rFonts w:ascii="Calibri" w:eastAsia="Calibri" w:hAnsi="Calibri"/>
          <w:sz w:val="20"/>
          <w:szCs w:val="20"/>
        </w:rPr>
        <w:t xml:space="preserve"> 1951; 6(6):555-8.</w:t>
      </w:r>
      <w:r w:rsidRPr="00265A1D">
        <w:rPr>
          <w:rFonts w:ascii="Calibri" w:eastAsia="Calibri" w:hAnsi="Calibri"/>
          <w:sz w:val="20"/>
          <w:szCs w:val="20"/>
        </w:rPr>
        <w:t xml:space="preserve"> </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7. </w:t>
      </w:r>
      <w:proofErr w:type="spellStart"/>
      <w:r w:rsidRPr="00265A1D">
        <w:rPr>
          <w:rFonts w:ascii="Calibri" w:eastAsia="Calibri" w:hAnsi="Calibri"/>
          <w:sz w:val="20"/>
          <w:szCs w:val="20"/>
        </w:rPr>
        <w:t>Pathare</w:t>
      </w:r>
      <w:proofErr w:type="spellEnd"/>
      <w:r w:rsidRPr="00265A1D">
        <w:rPr>
          <w:rFonts w:ascii="Calibri" w:eastAsia="Calibri" w:hAnsi="Calibri"/>
          <w:sz w:val="20"/>
          <w:szCs w:val="20"/>
        </w:rPr>
        <w:t xml:space="preserve"> A, Al </w:t>
      </w:r>
      <w:proofErr w:type="spellStart"/>
      <w:r w:rsidRPr="00265A1D">
        <w:rPr>
          <w:rFonts w:ascii="Calibri" w:eastAsia="Calibri" w:hAnsi="Calibri"/>
          <w:sz w:val="20"/>
          <w:szCs w:val="20"/>
        </w:rPr>
        <w:t>Kindi</w:t>
      </w:r>
      <w:proofErr w:type="spellEnd"/>
      <w:r w:rsidRPr="00265A1D">
        <w:rPr>
          <w:rFonts w:ascii="Calibri" w:eastAsia="Calibri" w:hAnsi="Calibri"/>
          <w:sz w:val="20"/>
          <w:szCs w:val="20"/>
        </w:rPr>
        <w:t xml:space="preserve"> S,</w:t>
      </w:r>
      <w:r w:rsidR="008256B6" w:rsidRPr="00265A1D">
        <w:rPr>
          <w:rFonts w:ascii="Calibri" w:eastAsia="Calibri" w:hAnsi="Calibri"/>
          <w:sz w:val="20"/>
          <w:szCs w:val="20"/>
        </w:rPr>
        <w:t xml:space="preserve"> et al</w:t>
      </w:r>
      <w:r w:rsidRPr="00265A1D">
        <w:rPr>
          <w:rFonts w:ascii="Calibri" w:eastAsia="Calibri" w:hAnsi="Calibri"/>
          <w:sz w:val="20"/>
          <w:szCs w:val="20"/>
        </w:rPr>
        <w:t>. Cytokine profile of sickle cell disease in Oman.</w:t>
      </w:r>
      <w:r w:rsidR="008256B6" w:rsidRPr="00265A1D">
        <w:t xml:space="preserve"> </w:t>
      </w:r>
      <w:hyperlink r:id="rId22" w:tooltip="American journal of hematology." w:history="1">
        <w:r w:rsidR="008256B6" w:rsidRPr="00265A1D">
          <w:rPr>
            <w:rStyle w:val="Hyperlink"/>
            <w:rFonts w:ascii="Calibri" w:eastAsia="Calibri" w:hAnsi="Calibri"/>
            <w:color w:val="auto"/>
            <w:sz w:val="20"/>
            <w:szCs w:val="20"/>
          </w:rPr>
          <w:t xml:space="preserve">Am J </w:t>
        </w:r>
        <w:proofErr w:type="spellStart"/>
        <w:r w:rsidR="008256B6" w:rsidRPr="00265A1D">
          <w:rPr>
            <w:rStyle w:val="Hyperlink"/>
            <w:rFonts w:ascii="Calibri" w:eastAsia="Calibri" w:hAnsi="Calibri"/>
            <w:color w:val="auto"/>
            <w:sz w:val="20"/>
            <w:szCs w:val="20"/>
          </w:rPr>
          <w:t>Hematol</w:t>
        </w:r>
        <w:proofErr w:type="spellEnd"/>
        <w:r w:rsidR="008256B6" w:rsidRPr="00265A1D">
          <w:rPr>
            <w:rStyle w:val="Hyperlink"/>
            <w:rFonts w:ascii="Calibri" w:eastAsia="Calibri" w:hAnsi="Calibri"/>
            <w:color w:val="auto"/>
            <w:sz w:val="20"/>
            <w:szCs w:val="20"/>
          </w:rPr>
          <w:t>.</w:t>
        </w:r>
      </w:hyperlink>
      <w:r w:rsidR="008256B6" w:rsidRPr="00265A1D">
        <w:rPr>
          <w:rFonts w:ascii="Calibri" w:eastAsia="Calibri" w:hAnsi="Calibri"/>
          <w:sz w:val="20"/>
          <w:szCs w:val="20"/>
        </w:rPr>
        <w:t xml:space="preserve"> 2004; 77(4):323-8.</w:t>
      </w:r>
      <w:r w:rsidRPr="00265A1D">
        <w:rPr>
          <w:rFonts w:ascii="Calibri" w:eastAsia="Calibri" w:hAnsi="Calibri"/>
          <w:sz w:val="20"/>
          <w:szCs w:val="20"/>
        </w:rPr>
        <w:t xml:space="preserve"> </w:t>
      </w:r>
    </w:p>
    <w:p w:rsidR="008256B6"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8. Steinberg MH. Predicting clinical severity in sickle cell </w:t>
      </w:r>
      <w:proofErr w:type="spellStart"/>
      <w:r w:rsidRPr="00265A1D">
        <w:rPr>
          <w:rFonts w:ascii="Calibri" w:eastAsia="Calibri" w:hAnsi="Calibri"/>
          <w:sz w:val="20"/>
          <w:szCs w:val="20"/>
        </w:rPr>
        <w:t>anaemia</w:t>
      </w:r>
      <w:proofErr w:type="spellEnd"/>
      <w:r w:rsidR="008256B6" w:rsidRPr="00265A1D">
        <w:rPr>
          <w:rFonts w:ascii="Calibri" w:eastAsia="Calibri" w:hAnsi="Calibri"/>
          <w:sz w:val="20"/>
          <w:szCs w:val="20"/>
        </w:rPr>
        <w:t>.</w:t>
      </w:r>
      <w:r w:rsidRPr="00265A1D">
        <w:rPr>
          <w:rFonts w:ascii="Calibri" w:eastAsia="Calibri" w:hAnsi="Calibri"/>
          <w:sz w:val="20"/>
          <w:szCs w:val="20"/>
        </w:rPr>
        <w:t xml:space="preserve"> </w:t>
      </w:r>
      <w:hyperlink r:id="rId23" w:tooltip="British journal of haematology." w:history="1">
        <w:r w:rsidR="008256B6" w:rsidRPr="00265A1D">
          <w:rPr>
            <w:rStyle w:val="Hyperlink"/>
            <w:rFonts w:ascii="Calibri" w:eastAsia="Calibri" w:hAnsi="Calibri"/>
            <w:color w:val="auto"/>
            <w:sz w:val="20"/>
            <w:szCs w:val="20"/>
          </w:rPr>
          <w:t xml:space="preserve">Br J </w:t>
        </w:r>
        <w:proofErr w:type="spellStart"/>
        <w:r w:rsidR="008256B6" w:rsidRPr="00265A1D">
          <w:rPr>
            <w:rStyle w:val="Hyperlink"/>
            <w:rFonts w:ascii="Calibri" w:eastAsia="Calibri" w:hAnsi="Calibri"/>
            <w:color w:val="auto"/>
            <w:sz w:val="20"/>
            <w:szCs w:val="20"/>
          </w:rPr>
          <w:t>Haematol</w:t>
        </w:r>
        <w:proofErr w:type="spellEnd"/>
        <w:r w:rsidR="008256B6" w:rsidRPr="00265A1D">
          <w:rPr>
            <w:rStyle w:val="Hyperlink"/>
            <w:rFonts w:ascii="Calibri" w:eastAsia="Calibri" w:hAnsi="Calibri"/>
            <w:color w:val="auto"/>
            <w:sz w:val="20"/>
            <w:szCs w:val="20"/>
          </w:rPr>
          <w:t>.</w:t>
        </w:r>
      </w:hyperlink>
      <w:r w:rsidR="008256B6" w:rsidRPr="00265A1D">
        <w:rPr>
          <w:rFonts w:ascii="Calibri" w:eastAsia="Calibri" w:hAnsi="Calibri"/>
          <w:sz w:val="20"/>
          <w:szCs w:val="20"/>
        </w:rPr>
        <w:t xml:space="preserve"> 2005; 129(4):465-81.</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9. </w:t>
      </w:r>
      <w:proofErr w:type="spellStart"/>
      <w:r w:rsidRPr="00265A1D">
        <w:rPr>
          <w:rFonts w:ascii="Calibri" w:eastAsia="Calibri" w:hAnsi="Calibri"/>
          <w:sz w:val="20"/>
          <w:szCs w:val="20"/>
        </w:rPr>
        <w:t>Dinarello</w:t>
      </w:r>
      <w:proofErr w:type="spellEnd"/>
      <w:r w:rsidRPr="00265A1D">
        <w:rPr>
          <w:rFonts w:ascii="Calibri" w:eastAsia="Calibri" w:hAnsi="Calibri"/>
          <w:sz w:val="20"/>
          <w:szCs w:val="20"/>
        </w:rPr>
        <w:t xml:space="preserve"> CA. Biologic basis for interleukin-1 in disease.</w:t>
      </w:r>
      <w:r w:rsidR="008256B6" w:rsidRPr="00265A1D">
        <w:t xml:space="preserve"> </w:t>
      </w:r>
      <w:hyperlink r:id="rId24" w:tooltip="Blood." w:history="1">
        <w:r w:rsidR="008256B6" w:rsidRPr="00265A1D">
          <w:rPr>
            <w:rStyle w:val="Hyperlink"/>
            <w:rFonts w:ascii="Calibri" w:eastAsia="Calibri" w:hAnsi="Calibri"/>
            <w:color w:val="auto"/>
            <w:sz w:val="20"/>
            <w:szCs w:val="20"/>
          </w:rPr>
          <w:t>Blood.</w:t>
        </w:r>
      </w:hyperlink>
      <w:r w:rsidR="008256B6" w:rsidRPr="00265A1D">
        <w:rPr>
          <w:rFonts w:ascii="Calibri" w:eastAsia="Calibri" w:hAnsi="Calibri"/>
          <w:sz w:val="20"/>
          <w:szCs w:val="20"/>
        </w:rPr>
        <w:t xml:space="preserve"> 1996 15; 87(6):2095-147.</w:t>
      </w:r>
      <w:r w:rsidRPr="00265A1D">
        <w:rPr>
          <w:rFonts w:ascii="Calibri" w:eastAsia="Calibri" w:hAnsi="Calibri"/>
          <w:sz w:val="20"/>
          <w:szCs w:val="20"/>
        </w:rPr>
        <w:t xml:space="preserve"> </w:t>
      </w:r>
    </w:p>
    <w:p w:rsidR="00CD607B" w:rsidRPr="00265A1D" w:rsidRDefault="00CD607B" w:rsidP="008256B6">
      <w:pPr>
        <w:bidi w:val="0"/>
        <w:jc w:val="both"/>
        <w:rPr>
          <w:rFonts w:ascii="Calibri" w:eastAsia="Calibri" w:hAnsi="Calibri"/>
          <w:sz w:val="20"/>
          <w:szCs w:val="20"/>
        </w:rPr>
      </w:pPr>
      <w:r w:rsidRPr="00265A1D">
        <w:rPr>
          <w:rFonts w:ascii="Calibri" w:eastAsia="Calibri" w:hAnsi="Calibri"/>
          <w:sz w:val="20"/>
          <w:szCs w:val="20"/>
        </w:rPr>
        <w:t xml:space="preserve">10. Chen CJ, Shi Y, Hearn A, et al. MyD88-dependent IL-1 receptor signaling is essential for gouty inflammation stimulated by monosodium urate crystals. </w:t>
      </w:r>
      <w:hyperlink r:id="rId25" w:tooltip="The Journal of clinical investigation." w:history="1">
        <w:r w:rsidR="008256B6" w:rsidRPr="00265A1D">
          <w:rPr>
            <w:rStyle w:val="Hyperlink"/>
            <w:rFonts w:ascii="Calibri" w:eastAsia="Calibri" w:hAnsi="Calibri"/>
            <w:color w:val="auto"/>
            <w:sz w:val="20"/>
            <w:szCs w:val="20"/>
          </w:rPr>
          <w:t xml:space="preserve">J </w:t>
        </w:r>
        <w:proofErr w:type="spellStart"/>
        <w:r w:rsidR="008256B6" w:rsidRPr="00265A1D">
          <w:rPr>
            <w:rStyle w:val="Hyperlink"/>
            <w:rFonts w:ascii="Calibri" w:eastAsia="Calibri" w:hAnsi="Calibri"/>
            <w:color w:val="auto"/>
            <w:sz w:val="20"/>
            <w:szCs w:val="20"/>
          </w:rPr>
          <w:t>Clin</w:t>
        </w:r>
        <w:proofErr w:type="spellEnd"/>
        <w:r w:rsidR="008256B6" w:rsidRPr="00265A1D">
          <w:rPr>
            <w:rStyle w:val="Hyperlink"/>
            <w:rFonts w:ascii="Calibri" w:eastAsia="Calibri" w:hAnsi="Calibri"/>
            <w:color w:val="auto"/>
            <w:sz w:val="20"/>
            <w:szCs w:val="20"/>
          </w:rPr>
          <w:t xml:space="preserve"> Invest.</w:t>
        </w:r>
      </w:hyperlink>
      <w:r w:rsidR="008256B6" w:rsidRPr="00265A1D">
        <w:rPr>
          <w:rFonts w:ascii="Calibri" w:eastAsia="Calibri" w:hAnsi="Calibri"/>
          <w:sz w:val="20"/>
          <w:szCs w:val="20"/>
        </w:rPr>
        <w:t xml:space="preserve"> 2006; 116(8):2262-71.</w:t>
      </w:r>
    </w:p>
    <w:p w:rsidR="00CD607B" w:rsidRPr="00265A1D" w:rsidRDefault="00CD607B" w:rsidP="003F0A7A">
      <w:pPr>
        <w:bidi w:val="0"/>
        <w:jc w:val="both"/>
        <w:rPr>
          <w:rFonts w:ascii="Calibri" w:eastAsia="Calibri" w:hAnsi="Calibri"/>
          <w:sz w:val="20"/>
          <w:szCs w:val="20"/>
        </w:rPr>
      </w:pPr>
      <w:r w:rsidRPr="00265A1D">
        <w:rPr>
          <w:rFonts w:ascii="Calibri" w:eastAsia="Calibri" w:hAnsi="Calibri"/>
          <w:sz w:val="20"/>
          <w:szCs w:val="20"/>
        </w:rPr>
        <w:t xml:space="preserve">11. </w:t>
      </w:r>
      <w:proofErr w:type="spellStart"/>
      <w:r w:rsidRPr="00265A1D">
        <w:rPr>
          <w:rFonts w:ascii="Calibri" w:eastAsia="Calibri" w:hAnsi="Calibri"/>
          <w:sz w:val="20"/>
          <w:szCs w:val="20"/>
        </w:rPr>
        <w:t>Pathare</w:t>
      </w:r>
      <w:proofErr w:type="spellEnd"/>
      <w:r w:rsidRPr="00265A1D">
        <w:rPr>
          <w:rFonts w:ascii="Calibri" w:eastAsia="Calibri" w:hAnsi="Calibri"/>
          <w:sz w:val="20"/>
          <w:szCs w:val="20"/>
        </w:rPr>
        <w:t xml:space="preserve"> A, </w:t>
      </w:r>
      <w:proofErr w:type="spellStart"/>
      <w:r w:rsidRPr="00265A1D">
        <w:rPr>
          <w:rFonts w:ascii="Calibri" w:eastAsia="Calibri" w:hAnsi="Calibri"/>
          <w:sz w:val="20"/>
          <w:szCs w:val="20"/>
        </w:rPr>
        <w:t>Kindi</w:t>
      </w:r>
      <w:proofErr w:type="spellEnd"/>
      <w:r w:rsidRPr="00265A1D">
        <w:rPr>
          <w:rFonts w:ascii="Calibri" w:eastAsia="Calibri" w:hAnsi="Calibri"/>
          <w:sz w:val="20"/>
          <w:szCs w:val="20"/>
        </w:rPr>
        <w:t xml:space="preserve"> SA, </w:t>
      </w:r>
      <w:proofErr w:type="spellStart"/>
      <w:r w:rsidRPr="00265A1D">
        <w:rPr>
          <w:rFonts w:ascii="Calibri" w:eastAsia="Calibri" w:hAnsi="Calibri"/>
          <w:sz w:val="20"/>
          <w:szCs w:val="20"/>
        </w:rPr>
        <w:t>Daar</w:t>
      </w:r>
      <w:proofErr w:type="spellEnd"/>
      <w:r w:rsidRPr="00265A1D">
        <w:rPr>
          <w:rFonts w:ascii="Calibri" w:eastAsia="Calibri" w:hAnsi="Calibri"/>
          <w:sz w:val="20"/>
          <w:szCs w:val="20"/>
        </w:rPr>
        <w:t xml:space="preserve"> S, </w:t>
      </w:r>
      <w:r w:rsidR="003F0A7A" w:rsidRPr="00265A1D">
        <w:rPr>
          <w:rFonts w:ascii="Calibri" w:eastAsia="Calibri" w:hAnsi="Calibri"/>
          <w:sz w:val="20"/>
          <w:szCs w:val="20"/>
        </w:rPr>
        <w:t>et al</w:t>
      </w:r>
      <w:r w:rsidRPr="00265A1D">
        <w:rPr>
          <w:rFonts w:ascii="Calibri" w:eastAsia="Calibri" w:hAnsi="Calibri"/>
          <w:sz w:val="20"/>
          <w:szCs w:val="20"/>
        </w:rPr>
        <w:t>. Cytokines in sickle cell disease</w:t>
      </w:r>
      <w:r w:rsidR="003F0A7A" w:rsidRPr="00265A1D">
        <w:rPr>
          <w:rFonts w:ascii="Calibri" w:eastAsia="Calibri" w:hAnsi="Calibri"/>
          <w:sz w:val="20"/>
          <w:szCs w:val="20"/>
        </w:rPr>
        <w:t>.</w:t>
      </w:r>
      <w:r w:rsidRPr="00265A1D">
        <w:rPr>
          <w:rFonts w:ascii="Calibri" w:eastAsia="Calibri" w:hAnsi="Calibri"/>
          <w:sz w:val="20"/>
          <w:szCs w:val="20"/>
        </w:rPr>
        <w:t xml:space="preserve"> </w:t>
      </w:r>
      <w:hyperlink r:id="rId26" w:tooltip="Hematology (Amsterdam, Netherlands)." w:history="1">
        <w:r w:rsidR="003F0A7A" w:rsidRPr="00265A1D">
          <w:rPr>
            <w:rStyle w:val="Hyperlink"/>
            <w:rFonts w:ascii="Calibri" w:eastAsia="Calibri" w:hAnsi="Calibri"/>
            <w:color w:val="auto"/>
            <w:sz w:val="20"/>
            <w:szCs w:val="20"/>
          </w:rPr>
          <w:t>Hematology.</w:t>
        </w:r>
      </w:hyperlink>
      <w:r w:rsidR="003F0A7A" w:rsidRPr="00265A1D">
        <w:rPr>
          <w:rFonts w:ascii="Calibri" w:eastAsia="Calibri" w:hAnsi="Calibri"/>
          <w:sz w:val="20"/>
          <w:szCs w:val="20"/>
        </w:rPr>
        <w:t xml:space="preserve"> 2003; 8(5):329-37.</w:t>
      </w:r>
    </w:p>
    <w:p w:rsidR="003F0A7A" w:rsidRPr="00265A1D" w:rsidRDefault="00CD607B" w:rsidP="003F0A7A">
      <w:pPr>
        <w:bidi w:val="0"/>
        <w:jc w:val="both"/>
        <w:rPr>
          <w:rFonts w:ascii="Calibri" w:eastAsia="Calibri" w:hAnsi="Calibri"/>
          <w:sz w:val="20"/>
          <w:szCs w:val="20"/>
        </w:rPr>
      </w:pPr>
      <w:r w:rsidRPr="00265A1D">
        <w:rPr>
          <w:rFonts w:ascii="Calibri" w:eastAsia="Calibri" w:hAnsi="Calibri"/>
          <w:sz w:val="20"/>
          <w:szCs w:val="20"/>
        </w:rPr>
        <w:t xml:space="preserve">12. </w:t>
      </w:r>
      <w:proofErr w:type="spellStart"/>
      <w:r w:rsidRPr="00265A1D">
        <w:rPr>
          <w:rFonts w:ascii="Calibri" w:eastAsia="Calibri" w:hAnsi="Calibri"/>
          <w:sz w:val="20"/>
          <w:szCs w:val="20"/>
        </w:rPr>
        <w:t>Brttain</w:t>
      </w:r>
      <w:proofErr w:type="spellEnd"/>
      <w:r w:rsidRPr="00265A1D">
        <w:rPr>
          <w:rFonts w:ascii="Calibri" w:eastAsia="Calibri" w:hAnsi="Calibri"/>
          <w:sz w:val="20"/>
          <w:szCs w:val="20"/>
        </w:rPr>
        <w:t xml:space="preserve"> JE, </w:t>
      </w:r>
      <w:proofErr w:type="spellStart"/>
      <w:r w:rsidRPr="00265A1D">
        <w:rPr>
          <w:rFonts w:ascii="Calibri" w:eastAsia="Calibri" w:hAnsi="Calibri"/>
          <w:sz w:val="20"/>
          <w:szCs w:val="20"/>
        </w:rPr>
        <w:t>Parise</w:t>
      </w:r>
      <w:proofErr w:type="spellEnd"/>
      <w:r w:rsidRPr="00265A1D">
        <w:rPr>
          <w:rFonts w:ascii="Calibri" w:eastAsia="Calibri" w:hAnsi="Calibri"/>
          <w:sz w:val="20"/>
          <w:szCs w:val="20"/>
        </w:rPr>
        <w:t xml:space="preserve"> LV. Cytokines and plasma factors in sickle cell disease.</w:t>
      </w:r>
      <w:r w:rsidR="003F0A7A" w:rsidRPr="00265A1D">
        <w:t xml:space="preserve"> </w:t>
      </w:r>
      <w:hyperlink r:id="rId27" w:tooltip="Current opinion in hematology." w:history="1">
        <w:proofErr w:type="spellStart"/>
        <w:r w:rsidR="003F0A7A" w:rsidRPr="00265A1D">
          <w:rPr>
            <w:rStyle w:val="Hyperlink"/>
            <w:rFonts w:ascii="Calibri" w:eastAsia="Calibri" w:hAnsi="Calibri"/>
            <w:color w:val="auto"/>
            <w:sz w:val="20"/>
            <w:szCs w:val="20"/>
          </w:rPr>
          <w:t>Curr</w:t>
        </w:r>
        <w:proofErr w:type="spellEnd"/>
        <w:r w:rsidR="003F0A7A" w:rsidRPr="00265A1D">
          <w:rPr>
            <w:rStyle w:val="Hyperlink"/>
            <w:rFonts w:ascii="Calibri" w:eastAsia="Calibri" w:hAnsi="Calibri"/>
            <w:color w:val="auto"/>
            <w:sz w:val="20"/>
            <w:szCs w:val="20"/>
          </w:rPr>
          <w:t xml:space="preserve"> </w:t>
        </w:r>
        <w:proofErr w:type="spellStart"/>
        <w:r w:rsidR="003F0A7A" w:rsidRPr="00265A1D">
          <w:rPr>
            <w:rStyle w:val="Hyperlink"/>
            <w:rFonts w:ascii="Calibri" w:eastAsia="Calibri" w:hAnsi="Calibri"/>
            <w:color w:val="auto"/>
            <w:sz w:val="20"/>
            <w:szCs w:val="20"/>
          </w:rPr>
          <w:t>Opin</w:t>
        </w:r>
        <w:proofErr w:type="spellEnd"/>
        <w:r w:rsidR="003F0A7A" w:rsidRPr="00265A1D">
          <w:rPr>
            <w:rStyle w:val="Hyperlink"/>
            <w:rFonts w:ascii="Calibri" w:eastAsia="Calibri" w:hAnsi="Calibri"/>
            <w:color w:val="auto"/>
            <w:sz w:val="20"/>
            <w:szCs w:val="20"/>
          </w:rPr>
          <w:t xml:space="preserve"> </w:t>
        </w:r>
        <w:proofErr w:type="spellStart"/>
        <w:r w:rsidR="003F0A7A" w:rsidRPr="00265A1D">
          <w:rPr>
            <w:rStyle w:val="Hyperlink"/>
            <w:rFonts w:ascii="Calibri" w:eastAsia="Calibri" w:hAnsi="Calibri"/>
            <w:color w:val="auto"/>
            <w:sz w:val="20"/>
            <w:szCs w:val="20"/>
          </w:rPr>
          <w:t>Hematol</w:t>
        </w:r>
        <w:proofErr w:type="spellEnd"/>
        <w:r w:rsidR="003F0A7A" w:rsidRPr="00265A1D">
          <w:rPr>
            <w:rStyle w:val="Hyperlink"/>
            <w:rFonts w:ascii="Calibri" w:eastAsia="Calibri" w:hAnsi="Calibri"/>
            <w:color w:val="auto"/>
            <w:sz w:val="20"/>
            <w:szCs w:val="20"/>
          </w:rPr>
          <w:t>.</w:t>
        </w:r>
      </w:hyperlink>
      <w:r w:rsidR="003F0A7A" w:rsidRPr="00265A1D">
        <w:rPr>
          <w:rFonts w:ascii="Calibri" w:eastAsia="Calibri" w:hAnsi="Calibri"/>
          <w:sz w:val="20"/>
          <w:szCs w:val="20"/>
        </w:rPr>
        <w:t xml:space="preserve"> 2007; 14(5):438-43.</w:t>
      </w:r>
      <w:r w:rsidRPr="00265A1D">
        <w:rPr>
          <w:rFonts w:ascii="Calibri" w:eastAsia="Calibri" w:hAnsi="Calibri"/>
          <w:sz w:val="20"/>
          <w:szCs w:val="20"/>
        </w:rPr>
        <w:t xml:space="preserve"> </w:t>
      </w:r>
    </w:p>
    <w:p w:rsidR="00CD607B" w:rsidRPr="00265A1D" w:rsidRDefault="00CD607B" w:rsidP="0074191C">
      <w:pPr>
        <w:bidi w:val="0"/>
        <w:jc w:val="both"/>
        <w:rPr>
          <w:rFonts w:ascii="Calibri" w:eastAsia="Calibri" w:hAnsi="Calibri"/>
          <w:sz w:val="20"/>
          <w:szCs w:val="20"/>
        </w:rPr>
      </w:pPr>
      <w:r w:rsidRPr="00265A1D">
        <w:rPr>
          <w:rFonts w:ascii="Calibri" w:eastAsia="Calibri" w:hAnsi="Calibri"/>
          <w:sz w:val="20"/>
          <w:szCs w:val="20"/>
        </w:rPr>
        <w:t xml:space="preserve">13. </w:t>
      </w:r>
      <w:proofErr w:type="spellStart"/>
      <w:r w:rsidRPr="00265A1D">
        <w:rPr>
          <w:rFonts w:ascii="Calibri" w:eastAsia="Calibri" w:hAnsi="Calibri"/>
          <w:sz w:val="20"/>
          <w:szCs w:val="20"/>
        </w:rPr>
        <w:t>Pitanga</w:t>
      </w:r>
      <w:proofErr w:type="spellEnd"/>
      <w:r w:rsidRPr="00265A1D">
        <w:rPr>
          <w:rFonts w:ascii="Calibri" w:eastAsia="Calibri" w:hAnsi="Calibri"/>
          <w:sz w:val="20"/>
          <w:szCs w:val="20"/>
        </w:rPr>
        <w:t xml:space="preserve"> TN, Vilas-Boas W, </w:t>
      </w:r>
      <w:proofErr w:type="spellStart"/>
      <w:r w:rsidRPr="00265A1D">
        <w:rPr>
          <w:rFonts w:ascii="Calibri" w:eastAsia="Calibri" w:hAnsi="Calibri"/>
          <w:sz w:val="20"/>
          <w:szCs w:val="20"/>
        </w:rPr>
        <w:t>Cerqueira</w:t>
      </w:r>
      <w:proofErr w:type="spellEnd"/>
      <w:r w:rsidRPr="00265A1D">
        <w:rPr>
          <w:rFonts w:ascii="Calibri" w:eastAsia="Calibri" w:hAnsi="Calibri"/>
          <w:sz w:val="20"/>
          <w:szCs w:val="20"/>
        </w:rPr>
        <w:t xml:space="preserve"> BAV, et al. Cytokine profiles in sickle cell anemia: Pathways to be unraveled.</w:t>
      </w:r>
      <w:r w:rsidR="0074191C" w:rsidRPr="00265A1D">
        <w:t xml:space="preserve"> </w:t>
      </w:r>
      <w:proofErr w:type="spellStart"/>
      <w:r w:rsidR="0074191C" w:rsidRPr="00265A1D">
        <w:rPr>
          <w:rFonts w:ascii="Calibri" w:eastAsia="Calibri" w:hAnsi="Calibri"/>
          <w:sz w:val="20"/>
          <w:szCs w:val="20"/>
        </w:rPr>
        <w:t>Adv</w:t>
      </w:r>
      <w:proofErr w:type="spellEnd"/>
      <w:r w:rsidR="0074191C" w:rsidRPr="00265A1D">
        <w:rPr>
          <w:rFonts w:ascii="Calibri" w:eastAsia="Calibri" w:hAnsi="Calibri"/>
          <w:sz w:val="20"/>
          <w:szCs w:val="20"/>
        </w:rPr>
        <w:t xml:space="preserve"> </w:t>
      </w:r>
      <w:proofErr w:type="spellStart"/>
      <w:r w:rsidR="0074191C" w:rsidRPr="00265A1D">
        <w:rPr>
          <w:rFonts w:ascii="Calibri" w:eastAsia="Calibri" w:hAnsi="Calibri"/>
          <w:sz w:val="20"/>
          <w:szCs w:val="20"/>
        </w:rPr>
        <w:t>Biosci</w:t>
      </w:r>
      <w:proofErr w:type="spellEnd"/>
      <w:r w:rsidR="0074191C" w:rsidRPr="00265A1D">
        <w:rPr>
          <w:rFonts w:ascii="Calibri" w:eastAsia="Calibri" w:hAnsi="Calibri"/>
          <w:sz w:val="20"/>
          <w:szCs w:val="20"/>
        </w:rPr>
        <w:t xml:space="preserve"> </w:t>
      </w:r>
      <w:proofErr w:type="spellStart"/>
      <w:r w:rsidR="0074191C" w:rsidRPr="00265A1D">
        <w:rPr>
          <w:rFonts w:ascii="Calibri" w:eastAsia="Calibri" w:hAnsi="Calibri"/>
          <w:sz w:val="20"/>
          <w:szCs w:val="20"/>
        </w:rPr>
        <w:t>Biotechnol</w:t>
      </w:r>
      <w:proofErr w:type="spellEnd"/>
      <w:r w:rsidR="0074191C" w:rsidRPr="00265A1D">
        <w:rPr>
          <w:rFonts w:ascii="Calibri" w:eastAsia="Calibri" w:hAnsi="Calibri"/>
          <w:sz w:val="20"/>
          <w:szCs w:val="20"/>
        </w:rPr>
        <w:t xml:space="preserve">. </w:t>
      </w:r>
      <w:r w:rsidRPr="00265A1D">
        <w:rPr>
          <w:rFonts w:ascii="Calibri" w:eastAsia="Calibri" w:hAnsi="Calibri"/>
          <w:sz w:val="20"/>
          <w:szCs w:val="20"/>
        </w:rPr>
        <w:t>2013</w:t>
      </w:r>
      <w:r w:rsidR="0074191C" w:rsidRPr="00265A1D">
        <w:rPr>
          <w:rFonts w:ascii="Calibri" w:eastAsia="Calibri" w:hAnsi="Calibri"/>
          <w:sz w:val="20"/>
          <w:szCs w:val="20"/>
        </w:rPr>
        <w:t>;</w:t>
      </w:r>
      <w:r w:rsidRPr="00265A1D">
        <w:rPr>
          <w:rFonts w:ascii="Calibri" w:eastAsia="Calibri" w:hAnsi="Calibri"/>
          <w:sz w:val="20"/>
          <w:szCs w:val="20"/>
        </w:rPr>
        <w:t xml:space="preserve"> 4: 6-12.</w:t>
      </w:r>
    </w:p>
    <w:p w:rsidR="00CD607B" w:rsidRPr="00265A1D" w:rsidRDefault="00CD607B" w:rsidP="0074191C">
      <w:pPr>
        <w:bidi w:val="0"/>
        <w:jc w:val="both"/>
        <w:rPr>
          <w:rFonts w:ascii="Calibri" w:eastAsia="Calibri" w:hAnsi="Calibri"/>
          <w:sz w:val="20"/>
          <w:szCs w:val="20"/>
        </w:rPr>
      </w:pPr>
      <w:r w:rsidRPr="00265A1D">
        <w:rPr>
          <w:rFonts w:ascii="Calibri" w:eastAsia="Calibri" w:hAnsi="Calibri"/>
          <w:sz w:val="20"/>
          <w:szCs w:val="20"/>
        </w:rPr>
        <w:t xml:space="preserve">14. </w:t>
      </w:r>
      <w:proofErr w:type="spellStart"/>
      <w:r w:rsidRPr="00265A1D">
        <w:rPr>
          <w:rFonts w:ascii="Calibri" w:eastAsia="Calibri" w:hAnsi="Calibri"/>
          <w:sz w:val="20"/>
          <w:szCs w:val="20"/>
        </w:rPr>
        <w:t>Vicari</w:t>
      </w:r>
      <w:proofErr w:type="spellEnd"/>
      <w:r w:rsidRPr="00265A1D">
        <w:rPr>
          <w:rFonts w:ascii="Calibri" w:eastAsia="Calibri" w:hAnsi="Calibri"/>
          <w:sz w:val="20"/>
          <w:szCs w:val="20"/>
        </w:rPr>
        <w:t xml:space="preserve"> P, </w:t>
      </w:r>
      <w:proofErr w:type="spellStart"/>
      <w:r w:rsidRPr="00265A1D">
        <w:rPr>
          <w:rFonts w:ascii="Calibri" w:eastAsia="Calibri" w:hAnsi="Calibri"/>
          <w:sz w:val="20"/>
          <w:szCs w:val="20"/>
        </w:rPr>
        <w:t>Adegoke</w:t>
      </w:r>
      <w:proofErr w:type="spellEnd"/>
      <w:r w:rsidRPr="00265A1D">
        <w:rPr>
          <w:rFonts w:ascii="Calibri" w:eastAsia="Calibri" w:hAnsi="Calibri"/>
          <w:sz w:val="20"/>
          <w:szCs w:val="20"/>
        </w:rPr>
        <w:t xml:space="preserve"> SA, </w:t>
      </w:r>
      <w:proofErr w:type="spellStart"/>
      <w:r w:rsidRPr="00265A1D">
        <w:rPr>
          <w:rFonts w:ascii="Calibri" w:eastAsia="Calibri" w:hAnsi="Calibri"/>
          <w:sz w:val="20"/>
          <w:szCs w:val="20"/>
        </w:rPr>
        <w:t>Mazzotti</w:t>
      </w:r>
      <w:proofErr w:type="spellEnd"/>
      <w:r w:rsidRPr="00265A1D">
        <w:rPr>
          <w:rFonts w:ascii="Calibri" w:eastAsia="Calibri" w:hAnsi="Calibri"/>
          <w:sz w:val="20"/>
          <w:szCs w:val="20"/>
        </w:rPr>
        <w:t xml:space="preserve"> DR, </w:t>
      </w:r>
      <w:r w:rsidR="0074191C" w:rsidRPr="00265A1D">
        <w:rPr>
          <w:rFonts w:asciiTheme="minorHAnsi" w:hAnsiTheme="minorHAnsi" w:cstheme="minorHAnsi"/>
          <w:sz w:val="20"/>
          <w:szCs w:val="20"/>
        </w:rPr>
        <w:t>et al</w:t>
      </w:r>
      <w:r w:rsidRPr="00265A1D">
        <w:rPr>
          <w:rFonts w:asciiTheme="minorHAnsi" w:eastAsia="Calibri" w:hAnsiTheme="minorHAnsi" w:cstheme="minorHAnsi"/>
          <w:sz w:val="20"/>
          <w:szCs w:val="20"/>
        </w:rPr>
        <w:t>.</w:t>
      </w:r>
      <w:r w:rsidRPr="00265A1D">
        <w:rPr>
          <w:rFonts w:ascii="Calibri" w:eastAsia="Calibri" w:hAnsi="Calibri"/>
          <w:sz w:val="20"/>
          <w:szCs w:val="20"/>
        </w:rPr>
        <w:t xml:space="preserve"> Interleukin-1 </w:t>
      </w:r>
      <w:r w:rsidR="0074191C" w:rsidRPr="00265A1D">
        <w:rPr>
          <w:rFonts w:ascii="Calibri" w:eastAsia="Calibri" w:hAnsi="Calibri"/>
          <w:sz w:val="20"/>
          <w:szCs w:val="20"/>
        </w:rPr>
        <w:t xml:space="preserve">β </w:t>
      </w:r>
      <w:r w:rsidRPr="00265A1D">
        <w:rPr>
          <w:rFonts w:ascii="Calibri" w:eastAsia="Calibri" w:hAnsi="Calibri"/>
          <w:sz w:val="20"/>
          <w:szCs w:val="20"/>
        </w:rPr>
        <w:t xml:space="preserve">and interleukin- 6 gene polymorphisms are associated with manifestations of sickle cell anemia. Blood Cells </w:t>
      </w:r>
      <w:proofErr w:type="spellStart"/>
      <w:r w:rsidRPr="00265A1D">
        <w:rPr>
          <w:rFonts w:ascii="Calibri" w:eastAsia="Calibri" w:hAnsi="Calibri"/>
          <w:sz w:val="20"/>
          <w:szCs w:val="20"/>
        </w:rPr>
        <w:t>Mol</w:t>
      </w:r>
      <w:proofErr w:type="spellEnd"/>
      <w:r w:rsidRPr="00265A1D">
        <w:rPr>
          <w:rFonts w:ascii="Calibri" w:eastAsia="Calibri" w:hAnsi="Calibri"/>
          <w:sz w:val="20"/>
          <w:szCs w:val="20"/>
        </w:rPr>
        <w:t xml:space="preserve"> Dis</w:t>
      </w:r>
      <w:r w:rsidR="0074191C" w:rsidRPr="00265A1D">
        <w:rPr>
          <w:rFonts w:ascii="Calibri" w:eastAsia="Calibri" w:hAnsi="Calibri"/>
          <w:sz w:val="20"/>
          <w:szCs w:val="20"/>
        </w:rPr>
        <w:t>.</w:t>
      </w:r>
      <w:r w:rsidRPr="00265A1D">
        <w:rPr>
          <w:rFonts w:ascii="Calibri" w:eastAsia="Calibri" w:hAnsi="Calibri"/>
          <w:sz w:val="20"/>
          <w:szCs w:val="20"/>
        </w:rPr>
        <w:t xml:space="preserve"> 2015</w:t>
      </w:r>
      <w:r w:rsidR="0074191C" w:rsidRPr="00265A1D">
        <w:rPr>
          <w:rFonts w:ascii="Calibri" w:eastAsia="Calibri" w:hAnsi="Calibri"/>
          <w:sz w:val="20"/>
          <w:szCs w:val="20"/>
        </w:rPr>
        <w:t xml:space="preserve">; </w:t>
      </w:r>
      <w:r w:rsidRPr="00265A1D">
        <w:rPr>
          <w:rFonts w:ascii="Calibri" w:eastAsia="Calibri" w:hAnsi="Calibri"/>
          <w:sz w:val="20"/>
          <w:szCs w:val="20"/>
        </w:rPr>
        <w:t>54(3): 244–9.</w:t>
      </w:r>
    </w:p>
    <w:p w:rsidR="00CD607B" w:rsidRPr="00265A1D" w:rsidRDefault="00CD607B" w:rsidP="0074191C">
      <w:pPr>
        <w:bidi w:val="0"/>
        <w:jc w:val="both"/>
        <w:rPr>
          <w:rFonts w:ascii="Calibri" w:eastAsia="Calibri" w:hAnsi="Calibri"/>
          <w:sz w:val="20"/>
          <w:szCs w:val="20"/>
        </w:rPr>
      </w:pPr>
      <w:r w:rsidRPr="00265A1D">
        <w:rPr>
          <w:rFonts w:ascii="Calibri" w:eastAsia="Calibri" w:hAnsi="Calibri"/>
          <w:sz w:val="20"/>
          <w:szCs w:val="20"/>
        </w:rPr>
        <w:t xml:space="preserve">15. Elliott L, </w:t>
      </w:r>
      <w:hyperlink r:id="rId28" w:history="1">
        <w:r w:rsidRPr="00265A1D">
          <w:rPr>
            <w:rStyle w:val="Hyperlink"/>
            <w:rFonts w:ascii="Calibri" w:eastAsia="Calibri" w:hAnsi="Calibri"/>
            <w:color w:val="auto"/>
            <w:sz w:val="20"/>
            <w:szCs w:val="20"/>
          </w:rPr>
          <w:t>Ashley-Koch AE</w:t>
        </w:r>
      </w:hyperlink>
      <w:r w:rsidRPr="00265A1D">
        <w:rPr>
          <w:rFonts w:ascii="Calibri" w:eastAsia="Calibri" w:hAnsi="Calibri"/>
          <w:sz w:val="20"/>
          <w:szCs w:val="20"/>
        </w:rPr>
        <w:t xml:space="preserve">, </w:t>
      </w:r>
      <w:hyperlink r:id="rId29" w:history="1">
        <w:r w:rsidRPr="00265A1D">
          <w:rPr>
            <w:rStyle w:val="Hyperlink"/>
            <w:rFonts w:ascii="Calibri" w:eastAsia="Calibri" w:hAnsi="Calibri"/>
            <w:color w:val="auto"/>
            <w:sz w:val="20"/>
            <w:szCs w:val="20"/>
          </w:rPr>
          <w:t>De Castro L</w:t>
        </w:r>
      </w:hyperlink>
      <w:r w:rsidRPr="00265A1D">
        <w:rPr>
          <w:rFonts w:ascii="Calibri" w:eastAsia="Calibri" w:hAnsi="Calibri"/>
          <w:sz w:val="20"/>
          <w:szCs w:val="20"/>
        </w:rPr>
        <w:t xml:space="preserve">, </w:t>
      </w:r>
      <w:proofErr w:type="gramStart"/>
      <w:r w:rsidRPr="00265A1D">
        <w:rPr>
          <w:rFonts w:ascii="Calibri" w:eastAsia="Calibri" w:hAnsi="Calibri"/>
          <w:sz w:val="20"/>
          <w:szCs w:val="20"/>
        </w:rPr>
        <w:t>et</w:t>
      </w:r>
      <w:proofErr w:type="gramEnd"/>
      <w:r w:rsidRPr="00265A1D">
        <w:rPr>
          <w:rFonts w:ascii="Calibri" w:eastAsia="Calibri" w:hAnsi="Calibri"/>
          <w:sz w:val="20"/>
          <w:szCs w:val="20"/>
        </w:rPr>
        <w:t xml:space="preserve"> al. Genetic polymorphisms associated with priapism in sickle cell disease. </w:t>
      </w:r>
      <w:hyperlink r:id="rId30" w:tooltip="British journal of haematology." w:history="1">
        <w:r w:rsidR="0074191C" w:rsidRPr="00265A1D">
          <w:rPr>
            <w:rStyle w:val="Hyperlink"/>
            <w:rFonts w:ascii="Calibri" w:eastAsia="Calibri" w:hAnsi="Calibri"/>
            <w:color w:val="auto"/>
            <w:sz w:val="20"/>
            <w:szCs w:val="20"/>
          </w:rPr>
          <w:t xml:space="preserve">Br J </w:t>
        </w:r>
        <w:proofErr w:type="spellStart"/>
        <w:r w:rsidR="0074191C" w:rsidRPr="00265A1D">
          <w:rPr>
            <w:rStyle w:val="Hyperlink"/>
            <w:rFonts w:ascii="Calibri" w:eastAsia="Calibri" w:hAnsi="Calibri"/>
            <w:color w:val="auto"/>
            <w:sz w:val="20"/>
            <w:szCs w:val="20"/>
          </w:rPr>
          <w:t>Haematol</w:t>
        </w:r>
        <w:proofErr w:type="spellEnd"/>
        <w:r w:rsidR="0074191C" w:rsidRPr="00265A1D">
          <w:rPr>
            <w:rStyle w:val="Hyperlink"/>
            <w:rFonts w:ascii="Calibri" w:eastAsia="Calibri" w:hAnsi="Calibri"/>
            <w:color w:val="auto"/>
            <w:sz w:val="20"/>
            <w:szCs w:val="20"/>
          </w:rPr>
          <w:t>.</w:t>
        </w:r>
      </w:hyperlink>
      <w:r w:rsidR="0074191C" w:rsidRPr="00265A1D">
        <w:rPr>
          <w:rFonts w:ascii="Calibri" w:eastAsia="Calibri" w:hAnsi="Calibri"/>
          <w:sz w:val="20"/>
          <w:szCs w:val="20"/>
        </w:rPr>
        <w:t xml:space="preserve"> 2007; 137(3):262-7.</w:t>
      </w:r>
    </w:p>
    <w:p w:rsidR="00CD607B" w:rsidRPr="00265A1D" w:rsidRDefault="00CD607B" w:rsidP="0074191C">
      <w:pPr>
        <w:bidi w:val="0"/>
        <w:jc w:val="both"/>
        <w:rPr>
          <w:rFonts w:ascii="Calibri" w:eastAsia="Calibri" w:hAnsi="Calibri"/>
          <w:sz w:val="20"/>
          <w:szCs w:val="20"/>
        </w:rPr>
      </w:pPr>
      <w:r w:rsidRPr="00265A1D">
        <w:rPr>
          <w:rFonts w:ascii="Calibri" w:eastAsia="Calibri" w:hAnsi="Calibri"/>
          <w:sz w:val="20"/>
          <w:szCs w:val="20"/>
        </w:rPr>
        <w:t xml:space="preserve">16. </w:t>
      </w:r>
      <w:proofErr w:type="spellStart"/>
      <w:r w:rsidRPr="00265A1D">
        <w:rPr>
          <w:rFonts w:ascii="Calibri" w:eastAsia="Calibri" w:hAnsi="Calibri"/>
          <w:sz w:val="20"/>
          <w:szCs w:val="20"/>
        </w:rPr>
        <w:t>Tarer</w:t>
      </w:r>
      <w:proofErr w:type="spellEnd"/>
      <w:r w:rsidRPr="00265A1D">
        <w:rPr>
          <w:rFonts w:ascii="Calibri" w:eastAsia="Calibri" w:hAnsi="Calibri"/>
          <w:sz w:val="20"/>
          <w:szCs w:val="20"/>
        </w:rPr>
        <w:t xml:space="preserve"> V, Etienne-</w:t>
      </w:r>
      <w:proofErr w:type="spellStart"/>
      <w:r w:rsidRPr="00265A1D">
        <w:rPr>
          <w:rFonts w:ascii="Calibri" w:eastAsia="Calibri" w:hAnsi="Calibri"/>
          <w:sz w:val="20"/>
          <w:szCs w:val="20"/>
        </w:rPr>
        <w:t>Julan</w:t>
      </w:r>
      <w:proofErr w:type="spellEnd"/>
      <w:r w:rsidRPr="00265A1D">
        <w:rPr>
          <w:rFonts w:ascii="Calibri" w:eastAsia="Calibri" w:hAnsi="Calibri"/>
          <w:sz w:val="20"/>
          <w:szCs w:val="20"/>
        </w:rPr>
        <w:t xml:space="preserve"> M, </w:t>
      </w:r>
      <w:proofErr w:type="spellStart"/>
      <w:r w:rsidRPr="00265A1D">
        <w:rPr>
          <w:rFonts w:ascii="Calibri" w:eastAsia="Calibri" w:hAnsi="Calibri"/>
          <w:sz w:val="20"/>
          <w:szCs w:val="20"/>
        </w:rPr>
        <w:t>Diara</w:t>
      </w:r>
      <w:proofErr w:type="spellEnd"/>
      <w:r w:rsidRPr="00265A1D">
        <w:rPr>
          <w:rFonts w:ascii="Calibri" w:eastAsia="Calibri" w:hAnsi="Calibri"/>
          <w:sz w:val="20"/>
          <w:szCs w:val="20"/>
        </w:rPr>
        <w:t xml:space="preserve"> JP</w:t>
      </w:r>
      <w:r w:rsidR="0074191C" w:rsidRPr="00265A1D">
        <w:rPr>
          <w:rFonts w:ascii="Calibri" w:eastAsia="Calibri" w:hAnsi="Calibri"/>
          <w:sz w:val="20"/>
          <w:szCs w:val="20"/>
        </w:rPr>
        <w:t>, et al</w:t>
      </w:r>
      <w:r w:rsidRPr="00265A1D">
        <w:rPr>
          <w:rFonts w:ascii="Calibri" w:eastAsia="Calibri" w:hAnsi="Calibri"/>
          <w:sz w:val="20"/>
          <w:szCs w:val="20"/>
        </w:rPr>
        <w:t xml:space="preserve">. Sickle Cell Disease in </w:t>
      </w:r>
      <w:proofErr w:type="spellStart"/>
      <w:r w:rsidRPr="00265A1D">
        <w:rPr>
          <w:rFonts w:ascii="Calibri" w:eastAsia="Calibri" w:hAnsi="Calibri"/>
          <w:sz w:val="20"/>
          <w:szCs w:val="20"/>
        </w:rPr>
        <w:t>Guadeloupean</w:t>
      </w:r>
      <w:proofErr w:type="spellEnd"/>
      <w:r w:rsidRPr="00265A1D">
        <w:rPr>
          <w:rFonts w:ascii="Calibri" w:eastAsia="Calibri" w:hAnsi="Calibri"/>
          <w:sz w:val="20"/>
          <w:szCs w:val="20"/>
        </w:rPr>
        <w:t xml:space="preserve"> children: pattern and prevalence of acute clinical events. </w:t>
      </w:r>
      <w:hyperlink r:id="rId31" w:tooltip="European journal of haematology." w:history="1">
        <w:proofErr w:type="spellStart"/>
        <w:r w:rsidR="0074191C" w:rsidRPr="00265A1D">
          <w:rPr>
            <w:rStyle w:val="Hyperlink"/>
            <w:rFonts w:ascii="Calibri" w:eastAsia="Calibri" w:hAnsi="Calibri"/>
            <w:color w:val="auto"/>
            <w:sz w:val="20"/>
            <w:szCs w:val="20"/>
          </w:rPr>
          <w:t>Eur</w:t>
        </w:r>
        <w:proofErr w:type="spellEnd"/>
        <w:r w:rsidR="0074191C" w:rsidRPr="00265A1D">
          <w:rPr>
            <w:rStyle w:val="Hyperlink"/>
            <w:rFonts w:ascii="Calibri" w:eastAsia="Calibri" w:hAnsi="Calibri"/>
            <w:color w:val="auto"/>
            <w:sz w:val="20"/>
            <w:szCs w:val="20"/>
          </w:rPr>
          <w:t xml:space="preserve"> J </w:t>
        </w:r>
        <w:proofErr w:type="spellStart"/>
        <w:r w:rsidR="0074191C" w:rsidRPr="00265A1D">
          <w:rPr>
            <w:rStyle w:val="Hyperlink"/>
            <w:rFonts w:ascii="Calibri" w:eastAsia="Calibri" w:hAnsi="Calibri"/>
            <w:color w:val="auto"/>
            <w:sz w:val="20"/>
            <w:szCs w:val="20"/>
          </w:rPr>
          <w:t>Haematol</w:t>
        </w:r>
        <w:proofErr w:type="spellEnd"/>
        <w:r w:rsidR="0074191C" w:rsidRPr="00265A1D">
          <w:rPr>
            <w:rStyle w:val="Hyperlink"/>
            <w:rFonts w:ascii="Calibri" w:eastAsia="Calibri" w:hAnsi="Calibri"/>
            <w:color w:val="auto"/>
            <w:sz w:val="20"/>
            <w:szCs w:val="20"/>
          </w:rPr>
          <w:t>.</w:t>
        </w:r>
      </w:hyperlink>
      <w:r w:rsidR="0074191C" w:rsidRPr="00265A1D">
        <w:rPr>
          <w:rFonts w:ascii="Calibri" w:eastAsia="Calibri" w:hAnsi="Calibri"/>
          <w:sz w:val="20"/>
          <w:szCs w:val="20"/>
        </w:rPr>
        <w:t xml:space="preserve"> 2006; 76(3):193-9.</w:t>
      </w:r>
    </w:p>
    <w:p w:rsidR="00CD607B" w:rsidRPr="00265A1D" w:rsidRDefault="00CD607B" w:rsidP="0074191C">
      <w:pPr>
        <w:bidi w:val="0"/>
        <w:jc w:val="both"/>
        <w:rPr>
          <w:rFonts w:ascii="Calibri" w:eastAsia="Calibri" w:hAnsi="Calibri"/>
          <w:sz w:val="20"/>
          <w:szCs w:val="20"/>
        </w:rPr>
      </w:pPr>
      <w:r w:rsidRPr="00265A1D">
        <w:rPr>
          <w:rFonts w:ascii="Calibri" w:eastAsia="Calibri" w:hAnsi="Calibri"/>
          <w:sz w:val="20"/>
          <w:szCs w:val="20"/>
        </w:rPr>
        <w:t xml:space="preserve">17. </w:t>
      </w:r>
      <w:r w:rsidRPr="00265A1D">
        <w:rPr>
          <w:rFonts w:ascii="Calibri" w:eastAsia="Calibri" w:hAnsi="Calibri"/>
          <w:sz w:val="20"/>
          <w:szCs w:val="20"/>
          <w:lang w:val="en-GB"/>
        </w:rPr>
        <w:t xml:space="preserve">Gladwin T, </w:t>
      </w:r>
      <w:proofErr w:type="spellStart"/>
      <w:r w:rsidRPr="00265A1D">
        <w:rPr>
          <w:rFonts w:ascii="Calibri" w:eastAsia="Calibri" w:hAnsi="Calibri"/>
          <w:sz w:val="20"/>
          <w:szCs w:val="20"/>
          <w:lang w:val="en-GB"/>
        </w:rPr>
        <w:t>Sachdev</w:t>
      </w:r>
      <w:proofErr w:type="spellEnd"/>
      <w:r w:rsidRPr="00265A1D">
        <w:rPr>
          <w:rFonts w:ascii="Calibri" w:eastAsia="Calibri" w:hAnsi="Calibri"/>
          <w:sz w:val="20"/>
          <w:szCs w:val="20"/>
          <w:lang w:val="en-GB"/>
        </w:rPr>
        <w:t xml:space="preserve"> V, </w:t>
      </w:r>
      <w:proofErr w:type="spellStart"/>
      <w:r w:rsidRPr="00265A1D">
        <w:rPr>
          <w:rFonts w:ascii="Calibri" w:eastAsia="Calibri" w:hAnsi="Calibri"/>
          <w:sz w:val="20"/>
          <w:szCs w:val="20"/>
          <w:lang w:val="en-GB"/>
        </w:rPr>
        <w:t>Jison</w:t>
      </w:r>
      <w:proofErr w:type="spellEnd"/>
      <w:r w:rsidRPr="00265A1D">
        <w:rPr>
          <w:rFonts w:ascii="Calibri" w:eastAsia="Calibri" w:hAnsi="Calibri"/>
          <w:sz w:val="20"/>
          <w:szCs w:val="20"/>
          <w:lang w:val="en-GB"/>
        </w:rPr>
        <w:t xml:space="preserve"> L, et al. Pulmonary Hypertension as a Risk Factor for Death in Patients with Sickle Cell Disease. N </w:t>
      </w:r>
      <w:proofErr w:type="spellStart"/>
      <w:r w:rsidRPr="00265A1D">
        <w:rPr>
          <w:rFonts w:ascii="Calibri" w:eastAsia="Calibri" w:hAnsi="Calibri"/>
          <w:sz w:val="20"/>
          <w:szCs w:val="20"/>
          <w:lang w:val="en-GB"/>
        </w:rPr>
        <w:t>Engl</w:t>
      </w:r>
      <w:proofErr w:type="spellEnd"/>
      <w:r w:rsidRPr="00265A1D">
        <w:rPr>
          <w:rFonts w:ascii="Calibri" w:eastAsia="Calibri" w:hAnsi="Calibri"/>
          <w:sz w:val="20"/>
          <w:szCs w:val="20"/>
          <w:lang w:val="en-GB"/>
        </w:rPr>
        <w:t xml:space="preserve"> J Med</w:t>
      </w:r>
      <w:r w:rsidR="0074191C" w:rsidRPr="00265A1D">
        <w:rPr>
          <w:rFonts w:ascii="Calibri" w:eastAsia="Calibri" w:hAnsi="Calibri"/>
          <w:sz w:val="20"/>
          <w:szCs w:val="20"/>
          <w:lang w:val="en-GB"/>
        </w:rPr>
        <w:t>.</w:t>
      </w:r>
      <w:r w:rsidRPr="00265A1D">
        <w:rPr>
          <w:rFonts w:ascii="Calibri" w:eastAsia="Calibri" w:hAnsi="Calibri"/>
          <w:sz w:val="20"/>
          <w:szCs w:val="20"/>
          <w:lang w:val="en-GB"/>
        </w:rPr>
        <w:t>2004</w:t>
      </w:r>
      <w:r w:rsidR="0074191C" w:rsidRPr="00265A1D">
        <w:rPr>
          <w:rFonts w:ascii="Calibri" w:eastAsia="Calibri" w:hAnsi="Calibri"/>
          <w:sz w:val="20"/>
          <w:szCs w:val="20"/>
          <w:lang w:val="en-GB"/>
        </w:rPr>
        <w:t>;</w:t>
      </w:r>
      <w:r w:rsidRPr="00265A1D">
        <w:rPr>
          <w:rFonts w:ascii="Calibri" w:eastAsia="Calibri" w:hAnsi="Calibri"/>
          <w:sz w:val="20"/>
          <w:szCs w:val="20"/>
          <w:lang w:val="en-GB"/>
        </w:rPr>
        <w:t xml:space="preserve"> 350: 886-95.</w:t>
      </w:r>
    </w:p>
    <w:p w:rsidR="00CD607B" w:rsidRPr="00265A1D" w:rsidRDefault="00CD607B" w:rsidP="0074191C">
      <w:pPr>
        <w:bidi w:val="0"/>
        <w:jc w:val="both"/>
        <w:rPr>
          <w:rFonts w:ascii="Calibri" w:eastAsia="Calibri" w:hAnsi="Calibri"/>
          <w:sz w:val="20"/>
          <w:szCs w:val="20"/>
        </w:rPr>
      </w:pPr>
      <w:r w:rsidRPr="00265A1D">
        <w:rPr>
          <w:rFonts w:ascii="Calibri" w:eastAsia="Calibri" w:hAnsi="Calibri"/>
          <w:sz w:val="20"/>
          <w:szCs w:val="20"/>
        </w:rPr>
        <w:t xml:space="preserve">18. </w:t>
      </w:r>
      <w:proofErr w:type="spellStart"/>
      <w:r w:rsidRPr="00265A1D">
        <w:rPr>
          <w:rFonts w:ascii="Calibri" w:eastAsia="Calibri" w:hAnsi="Calibri"/>
          <w:sz w:val="20"/>
          <w:szCs w:val="20"/>
        </w:rPr>
        <w:t>Yock</w:t>
      </w:r>
      <w:proofErr w:type="spellEnd"/>
      <w:r w:rsidRPr="00265A1D">
        <w:rPr>
          <w:rFonts w:ascii="Calibri" w:eastAsia="Calibri" w:hAnsi="Calibri"/>
          <w:sz w:val="20"/>
          <w:szCs w:val="20"/>
        </w:rPr>
        <w:t xml:space="preserve"> PG</w:t>
      </w:r>
      <w:r w:rsidR="0074191C" w:rsidRPr="00265A1D">
        <w:rPr>
          <w:rFonts w:ascii="Calibri" w:eastAsia="Calibri" w:hAnsi="Calibri"/>
          <w:sz w:val="20"/>
          <w:szCs w:val="20"/>
        </w:rPr>
        <w:t>,</w:t>
      </w:r>
      <w:r w:rsidRPr="00265A1D">
        <w:rPr>
          <w:rFonts w:ascii="Calibri" w:eastAsia="Calibri" w:hAnsi="Calibri"/>
          <w:sz w:val="20"/>
          <w:szCs w:val="20"/>
        </w:rPr>
        <w:t xml:space="preserve"> Popp RL. Noninvasive estimation of right ventricular systolic pressure by Doppler ultrasound in </w:t>
      </w:r>
      <w:r w:rsidRPr="00265A1D">
        <w:rPr>
          <w:rFonts w:ascii="Calibri" w:eastAsia="Calibri" w:hAnsi="Calibri"/>
          <w:sz w:val="20"/>
          <w:szCs w:val="20"/>
        </w:rPr>
        <w:lastRenderedPageBreak/>
        <w:t>patients with tricuspid regurgitation. Circulation; 1984. 70(4): 657-62.</w:t>
      </w:r>
    </w:p>
    <w:p w:rsidR="00CD607B" w:rsidRPr="00265A1D" w:rsidRDefault="00CD607B" w:rsidP="00265A1D">
      <w:pPr>
        <w:bidi w:val="0"/>
        <w:jc w:val="both"/>
        <w:rPr>
          <w:rFonts w:ascii="Calibri" w:eastAsia="Calibri" w:hAnsi="Calibri"/>
          <w:sz w:val="20"/>
          <w:szCs w:val="20"/>
        </w:rPr>
      </w:pPr>
      <w:r w:rsidRPr="00265A1D">
        <w:rPr>
          <w:rFonts w:ascii="Calibri" w:eastAsia="Calibri" w:hAnsi="Calibri"/>
          <w:sz w:val="20"/>
          <w:szCs w:val="20"/>
        </w:rPr>
        <w:t xml:space="preserve">19. </w:t>
      </w:r>
      <w:proofErr w:type="spellStart"/>
      <w:r w:rsidRPr="00265A1D">
        <w:rPr>
          <w:rFonts w:ascii="Calibri" w:eastAsia="Calibri" w:hAnsi="Calibri"/>
          <w:sz w:val="20"/>
          <w:szCs w:val="20"/>
        </w:rPr>
        <w:t>Piel</w:t>
      </w:r>
      <w:proofErr w:type="spellEnd"/>
      <w:r w:rsidRPr="00265A1D">
        <w:rPr>
          <w:rFonts w:ascii="Calibri" w:eastAsia="Calibri" w:hAnsi="Calibri"/>
          <w:sz w:val="20"/>
          <w:szCs w:val="20"/>
        </w:rPr>
        <w:t xml:space="preserve"> FB, Hay SI, Gupta S, </w:t>
      </w:r>
      <w:r w:rsidR="0074191C" w:rsidRPr="00265A1D">
        <w:rPr>
          <w:rFonts w:asciiTheme="minorHAnsi" w:hAnsiTheme="minorHAnsi" w:cstheme="minorHAnsi"/>
          <w:sz w:val="20"/>
          <w:szCs w:val="20"/>
        </w:rPr>
        <w:t>et al</w:t>
      </w:r>
      <w:r w:rsidRPr="00265A1D">
        <w:rPr>
          <w:rFonts w:asciiTheme="minorHAnsi" w:eastAsia="Calibri" w:hAnsiTheme="minorHAnsi" w:cstheme="minorHAnsi"/>
          <w:sz w:val="20"/>
          <w:szCs w:val="20"/>
        </w:rPr>
        <w:t>.</w:t>
      </w:r>
      <w:r w:rsidRPr="00265A1D">
        <w:rPr>
          <w:rFonts w:ascii="Calibri" w:eastAsia="Calibri" w:hAnsi="Calibri"/>
          <w:sz w:val="20"/>
          <w:szCs w:val="20"/>
        </w:rPr>
        <w:t xml:space="preserve"> Global burden of Sickle Cell Disease in children under five, modelling based on demographics, excess mortality, and interventions. </w:t>
      </w:r>
      <w:proofErr w:type="spellStart"/>
      <w:r w:rsidRPr="00265A1D">
        <w:rPr>
          <w:rFonts w:ascii="Calibri" w:eastAsia="Calibri" w:hAnsi="Calibri"/>
          <w:sz w:val="20"/>
          <w:szCs w:val="20"/>
        </w:rPr>
        <w:t>PLoS</w:t>
      </w:r>
      <w:proofErr w:type="spellEnd"/>
      <w:r w:rsidRPr="00265A1D">
        <w:rPr>
          <w:rFonts w:ascii="Calibri" w:eastAsia="Calibri" w:hAnsi="Calibri"/>
          <w:sz w:val="20"/>
          <w:szCs w:val="20"/>
        </w:rPr>
        <w:t xml:space="preserve"> Med</w:t>
      </w:r>
      <w:r w:rsidR="0074191C" w:rsidRPr="00265A1D">
        <w:rPr>
          <w:rFonts w:ascii="Calibri" w:eastAsia="Calibri" w:hAnsi="Calibri"/>
          <w:sz w:val="20"/>
          <w:szCs w:val="20"/>
        </w:rPr>
        <w:t>.</w:t>
      </w:r>
      <w:r w:rsidRPr="00265A1D">
        <w:rPr>
          <w:rFonts w:ascii="Calibri" w:eastAsia="Calibri" w:hAnsi="Calibri"/>
          <w:sz w:val="20"/>
          <w:szCs w:val="20"/>
        </w:rPr>
        <w:t xml:space="preserve"> 2013</w:t>
      </w:r>
      <w:r w:rsidR="0074191C" w:rsidRPr="00265A1D">
        <w:rPr>
          <w:rFonts w:ascii="Calibri" w:eastAsia="Calibri" w:hAnsi="Calibri"/>
          <w:sz w:val="20"/>
          <w:szCs w:val="20"/>
        </w:rPr>
        <w:t xml:space="preserve">; </w:t>
      </w:r>
      <w:r w:rsidRPr="00265A1D">
        <w:rPr>
          <w:rFonts w:ascii="Calibri" w:eastAsia="Calibri" w:hAnsi="Calibri"/>
          <w:sz w:val="20"/>
          <w:szCs w:val="20"/>
        </w:rPr>
        <w:t>10(7): e1001484</w:t>
      </w:r>
      <w:r w:rsidR="00265A1D" w:rsidRPr="00265A1D">
        <w:rPr>
          <w:rFonts w:ascii="Calibri" w:eastAsia="Calibri" w:hAnsi="Calibri"/>
          <w:sz w:val="20"/>
          <w:szCs w:val="20"/>
        </w:rPr>
        <w:t>.</w:t>
      </w:r>
    </w:p>
    <w:p w:rsidR="00265A1D" w:rsidRPr="00265A1D" w:rsidRDefault="00CD607B" w:rsidP="00265A1D">
      <w:pPr>
        <w:bidi w:val="0"/>
        <w:jc w:val="both"/>
        <w:rPr>
          <w:rFonts w:ascii="Calibri" w:eastAsia="Calibri" w:hAnsi="Calibri"/>
          <w:sz w:val="20"/>
          <w:szCs w:val="20"/>
        </w:rPr>
      </w:pPr>
      <w:r w:rsidRPr="00265A1D">
        <w:rPr>
          <w:rFonts w:ascii="Calibri" w:eastAsia="Calibri" w:hAnsi="Calibri"/>
          <w:sz w:val="20"/>
          <w:szCs w:val="20"/>
        </w:rPr>
        <w:t xml:space="preserve">20. </w:t>
      </w:r>
      <w:proofErr w:type="spellStart"/>
      <w:r w:rsidRPr="00265A1D">
        <w:rPr>
          <w:rFonts w:ascii="Calibri" w:eastAsia="Calibri" w:hAnsi="Calibri"/>
          <w:sz w:val="20"/>
          <w:szCs w:val="20"/>
        </w:rPr>
        <w:t>Kornman</w:t>
      </w:r>
      <w:proofErr w:type="spellEnd"/>
      <w:r w:rsidRPr="00265A1D">
        <w:rPr>
          <w:rFonts w:ascii="Calibri" w:eastAsia="Calibri" w:hAnsi="Calibri"/>
          <w:sz w:val="20"/>
          <w:szCs w:val="20"/>
        </w:rPr>
        <w:t xml:space="preserve"> KS. Interleukin 1 Genetics, Inflammatory Mechanisms, </w:t>
      </w:r>
      <w:proofErr w:type="spellStart"/>
      <w:r w:rsidRPr="00265A1D">
        <w:rPr>
          <w:rFonts w:ascii="Calibri" w:eastAsia="Calibri" w:hAnsi="Calibri"/>
          <w:sz w:val="20"/>
          <w:szCs w:val="20"/>
        </w:rPr>
        <w:t>Nutrigenic</w:t>
      </w:r>
      <w:proofErr w:type="spellEnd"/>
      <w:r w:rsidRPr="00265A1D">
        <w:rPr>
          <w:rFonts w:ascii="Calibri" w:eastAsia="Calibri" w:hAnsi="Calibri"/>
          <w:sz w:val="20"/>
          <w:szCs w:val="20"/>
        </w:rPr>
        <w:t xml:space="preserve"> Opportunities to Modulate Diseases of Aging. </w:t>
      </w:r>
      <w:hyperlink r:id="rId32" w:tooltip="The American journal of clinical nutrition." w:history="1">
        <w:r w:rsidR="00265A1D" w:rsidRPr="00265A1D">
          <w:rPr>
            <w:rStyle w:val="Hyperlink"/>
            <w:rFonts w:ascii="Calibri" w:eastAsia="Calibri" w:hAnsi="Calibri"/>
            <w:color w:val="auto"/>
            <w:sz w:val="20"/>
            <w:szCs w:val="20"/>
          </w:rPr>
          <w:t xml:space="preserve">Am J </w:t>
        </w:r>
        <w:proofErr w:type="spellStart"/>
        <w:r w:rsidR="00265A1D" w:rsidRPr="00265A1D">
          <w:rPr>
            <w:rStyle w:val="Hyperlink"/>
            <w:rFonts w:ascii="Calibri" w:eastAsia="Calibri" w:hAnsi="Calibri"/>
            <w:color w:val="auto"/>
            <w:sz w:val="20"/>
            <w:szCs w:val="20"/>
          </w:rPr>
          <w:t>Clin</w:t>
        </w:r>
        <w:proofErr w:type="spellEnd"/>
        <w:r w:rsidR="00265A1D" w:rsidRPr="00265A1D">
          <w:rPr>
            <w:rStyle w:val="Hyperlink"/>
            <w:rFonts w:ascii="Calibri" w:eastAsia="Calibri" w:hAnsi="Calibri"/>
            <w:color w:val="auto"/>
            <w:sz w:val="20"/>
            <w:szCs w:val="20"/>
          </w:rPr>
          <w:t xml:space="preserve"> </w:t>
        </w:r>
        <w:proofErr w:type="spellStart"/>
        <w:r w:rsidR="00265A1D" w:rsidRPr="00265A1D">
          <w:rPr>
            <w:rStyle w:val="Hyperlink"/>
            <w:rFonts w:ascii="Calibri" w:eastAsia="Calibri" w:hAnsi="Calibri"/>
            <w:color w:val="auto"/>
            <w:sz w:val="20"/>
            <w:szCs w:val="20"/>
          </w:rPr>
          <w:t>Nutr</w:t>
        </w:r>
        <w:proofErr w:type="spellEnd"/>
        <w:r w:rsidR="00265A1D" w:rsidRPr="00265A1D">
          <w:rPr>
            <w:rStyle w:val="Hyperlink"/>
            <w:rFonts w:ascii="Calibri" w:eastAsia="Calibri" w:hAnsi="Calibri"/>
            <w:color w:val="auto"/>
            <w:sz w:val="20"/>
            <w:szCs w:val="20"/>
          </w:rPr>
          <w:t>.</w:t>
        </w:r>
      </w:hyperlink>
      <w:r w:rsidR="00265A1D" w:rsidRPr="00265A1D">
        <w:rPr>
          <w:rFonts w:ascii="Calibri" w:eastAsia="Calibri" w:hAnsi="Calibri"/>
          <w:sz w:val="20"/>
          <w:szCs w:val="20"/>
        </w:rPr>
        <w:t xml:space="preserve"> 2006; 83(2):475S-483S.</w:t>
      </w:r>
    </w:p>
    <w:p w:rsidR="00CD607B" w:rsidRPr="00265A1D" w:rsidRDefault="00CD607B" w:rsidP="00265A1D">
      <w:pPr>
        <w:bidi w:val="0"/>
        <w:jc w:val="both"/>
        <w:rPr>
          <w:rFonts w:ascii="Calibri" w:eastAsia="Calibri" w:hAnsi="Calibri"/>
          <w:b/>
          <w:bCs/>
          <w:sz w:val="22"/>
          <w:szCs w:val="22"/>
        </w:rPr>
      </w:pPr>
      <w:r w:rsidRPr="00265A1D">
        <w:rPr>
          <w:rFonts w:ascii="Calibri" w:eastAsia="Calibri" w:hAnsi="Calibri"/>
          <w:sz w:val="20"/>
          <w:szCs w:val="20"/>
        </w:rPr>
        <w:t xml:space="preserve">21. </w:t>
      </w:r>
      <w:proofErr w:type="spellStart"/>
      <w:r w:rsidRPr="00265A1D">
        <w:rPr>
          <w:rFonts w:ascii="Calibri" w:eastAsia="Calibri" w:hAnsi="Calibri"/>
          <w:sz w:val="20"/>
          <w:szCs w:val="20"/>
        </w:rPr>
        <w:t>Dinarello</w:t>
      </w:r>
      <w:proofErr w:type="spellEnd"/>
      <w:r w:rsidRPr="00265A1D">
        <w:rPr>
          <w:rFonts w:ascii="Calibri" w:eastAsia="Calibri" w:hAnsi="Calibri"/>
          <w:sz w:val="20"/>
          <w:szCs w:val="20"/>
        </w:rPr>
        <w:t xml:space="preserve"> CA. Interleukin-1 in the pathogenesis and treatment of inflammatory diseases.</w:t>
      </w:r>
      <w:r w:rsidR="00265A1D" w:rsidRPr="00265A1D">
        <w:t xml:space="preserve"> </w:t>
      </w:r>
      <w:hyperlink r:id="rId33" w:tooltip="Blood." w:history="1">
        <w:r w:rsidR="00265A1D" w:rsidRPr="00265A1D">
          <w:rPr>
            <w:rStyle w:val="Hyperlink"/>
            <w:rFonts w:ascii="Calibri" w:eastAsia="Calibri" w:hAnsi="Calibri"/>
            <w:color w:val="auto"/>
            <w:sz w:val="20"/>
            <w:szCs w:val="20"/>
          </w:rPr>
          <w:t>Blood.</w:t>
        </w:r>
      </w:hyperlink>
      <w:r w:rsidR="00265A1D" w:rsidRPr="00265A1D">
        <w:rPr>
          <w:rFonts w:ascii="Calibri" w:eastAsia="Calibri" w:hAnsi="Calibri"/>
          <w:sz w:val="20"/>
          <w:szCs w:val="20"/>
        </w:rPr>
        <w:t xml:space="preserve"> 2011; 117(14):3720-32.</w:t>
      </w:r>
      <w:r w:rsidRPr="00265A1D">
        <w:rPr>
          <w:rFonts w:ascii="Calibri" w:eastAsia="Calibri" w:hAnsi="Calibri"/>
          <w:sz w:val="20"/>
          <w:szCs w:val="20"/>
        </w:rPr>
        <w:t xml:space="preserve"> </w:t>
      </w:r>
    </w:p>
    <w:p w:rsidR="00CD607B" w:rsidRPr="00265A1D" w:rsidRDefault="00CD607B" w:rsidP="00CD607B">
      <w:pPr>
        <w:bidi w:val="0"/>
        <w:jc w:val="both"/>
        <w:rPr>
          <w:rFonts w:ascii="Calibri" w:eastAsia="Calibri" w:hAnsi="Calibri"/>
          <w:b/>
          <w:bCs/>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p w:rsidR="00CD607B" w:rsidRPr="00265A1D" w:rsidRDefault="00CD607B" w:rsidP="00CD607B">
      <w:pPr>
        <w:bidi w:val="0"/>
        <w:jc w:val="both"/>
        <w:rPr>
          <w:rFonts w:ascii="Calibri" w:eastAsia="Calibri" w:hAnsi="Calibri"/>
          <w:sz w:val="22"/>
          <w:szCs w:val="22"/>
        </w:rPr>
      </w:pPr>
    </w:p>
    <w:sectPr w:rsidR="00CD607B" w:rsidRPr="00265A1D" w:rsidSect="009210D8">
      <w:type w:val="continuous"/>
      <w:pgSz w:w="12240" w:h="15840"/>
      <w:pgMar w:top="1440" w:right="1080" w:bottom="1440" w:left="1080" w:header="432" w:footer="720" w:gutter="0"/>
      <w:pgNumType w:start="4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7C9" w:rsidRDefault="000227C9" w:rsidP="003E1ADA">
      <w:r>
        <w:separator/>
      </w:r>
    </w:p>
  </w:endnote>
  <w:endnote w:type="continuationSeparator" w:id="0">
    <w:p w:rsidR="000227C9" w:rsidRDefault="000227C9" w:rsidP="003E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altName w:val="Plantagenet Cheroke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0617"/>
      <w:docPartObj>
        <w:docPartGallery w:val="Page Numbers (Bottom of Page)"/>
        <w:docPartUnique/>
      </w:docPartObj>
    </w:sdtPr>
    <w:sdtEndPr/>
    <w:sdtContent>
      <w:p w:rsidR="003F0A7A" w:rsidRDefault="003F0A7A" w:rsidP="00E2671D">
        <w:pPr>
          <w:pStyle w:val="Footer"/>
        </w:pPr>
        <w:r>
          <w:rPr>
            <w:noProof/>
          </w:rPr>
          <mc:AlternateContent>
            <mc:Choice Requires="wps">
              <w:drawing>
                <wp:anchor distT="0" distB="0" distL="114300" distR="114300" simplePos="0" relativeHeight="251660288" behindDoc="0" locked="0" layoutInCell="1" allowOverlap="1" wp14:anchorId="300A8EAE" wp14:editId="201067A1">
                  <wp:simplePos x="0" y="0"/>
                  <wp:positionH relativeFrom="page">
                    <wp:align>center</wp:align>
                  </wp:positionH>
                  <wp:positionV relativeFrom="bottomMargin">
                    <wp:align>center</wp:align>
                  </wp:positionV>
                  <wp:extent cx="4029710" cy="408940"/>
                  <wp:effectExtent l="0" t="0" r="2794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408940"/>
                          </a:xfrm>
                          <a:prstGeom prst="rect">
                            <a:avLst/>
                          </a:prstGeom>
                          <a:solidFill>
                            <a:srgbClr val="FFFFFF"/>
                          </a:solidFill>
                          <a:ln w="9525">
                            <a:solidFill>
                              <a:schemeClr val="bg1">
                                <a:lumMod val="100000"/>
                                <a:lumOff val="0"/>
                              </a:schemeClr>
                            </a:solidFill>
                            <a:miter lim="800000"/>
                            <a:headEnd/>
                            <a:tailEnd/>
                          </a:ln>
                        </wps:spPr>
                        <wps:txbx>
                          <w:txbxContent>
                            <w:p w:rsidR="003F0A7A" w:rsidRDefault="003F0A7A" w:rsidP="00E2671D">
                              <w:pPr>
                                <w:pStyle w:val="Footer"/>
                                <w:tabs>
                                  <w:tab w:val="left" w:pos="10769"/>
                                </w:tabs>
                                <w:ind w:right="360" w:firstLine="360"/>
                                <w:jc w:val="center"/>
                                <w:rPr>
                                  <w:rStyle w:val="PageNumber"/>
                                  <w:rFonts w:ascii="Arial Narrow" w:hAnsi="Arial Narrow"/>
                                  <w:sz w:val="20"/>
                                  <w:szCs w:val="20"/>
                                </w:rPr>
                              </w:pPr>
                              <w:r>
                                <w:rPr>
                                  <w:rStyle w:val="PageNumber"/>
                                  <w:rFonts w:ascii="Arial Narrow" w:hAnsi="Arial Narrow"/>
                                  <w:sz w:val="20"/>
                                  <w:szCs w:val="20"/>
                                </w:rPr>
                                <w:t>International Journal of Hematology Oncology and Stem Cell Research</w:t>
                              </w:r>
                            </w:p>
                            <w:p w:rsidR="003F0A7A" w:rsidRDefault="003F0A7A" w:rsidP="00E2671D">
                              <w:pPr>
                                <w:pStyle w:val="Footer"/>
                                <w:jc w:val="center"/>
                              </w:pPr>
                              <w:r>
                                <w:rPr>
                                  <w:rStyle w:val="PageNumber"/>
                                  <w:rFonts w:ascii="Arial Narrow" w:hAnsi="Arial Narrow"/>
                                  <w:sz w:val="20"/>
                                  <w:szCs w:val="20"/>
                                </w:rPr>
                                <w:t xml:space="preserve">ijhoscr.tums.ac.ir </w:t>
                              </w:r>
                            </w:p>
                            <w:p w:rsidR="003F0A7A" w:rsidRDefault="003F0A7A" w:rsidP="00E2671D">
                              <w:pPr>
                                <w:pStyle w:val="Footer"/>
                                <w:tabs>
                                  <w:tab w:val="left" w:pos="10769"/>
                                </w:tabs>
                                <w:ind w:right="360" w:firstLine="36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A8EAE" id="_x0000_t202" coordsize="21600,21600" o:spt="202" path="m,l,21600r21600,l21600,xe">
                  <v:stroke joinstyle="miter"/>
                  <v:path gradientshapeok="t" o:connecttype="rect"/>
                </v:shapetype>
                <v:shape id="Text Box 4" o:spid="_x0000_s1026" type="#_x0000_t202" style="position:absolute;margin-left:0;margin-top:0;width:317.3pt;height:32.2pt;z-index:251660288;visibility:visible;mso-wrap-style:square;mso-width-percent:0;mso-height-percent:0;mso-wrap-distance-left:9pt;mso-wrap-distance-top:0;mso-wrap-distance-right:9pt;mso-wrap-distance-bottom:0;mso-position-horizontal:center;mso-position-horizontal-relative:page;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" strokecolor="white [3212]">
                  <v:textbox>
                    <w:txbxContent>
                      <w:p w:rsidR="003F0A7A" w:rsidRDefault="003F0A7A" w:rsidP="00E2671D">
                        <w:pPr>
                          <w:pStyle w:val="Footer"/>
                          <w:tabs>
                            <w:tab w:val="left" w:pos="10769"/>
                          </w:tabs>
                          <w:ind w:right="360" w:firstLine="360"/>
                          <w:jc w:val="center"/>
                          <w:rPr>
                            <w:rStyle w:val="PageNumber"/>
                            <w:rFonts w:ascii="Arial Narrow" w:hAnsi="Arial Narrow"/>
                            <w:sz w:val="20"/>
                            <w:szCs w:val="20"/>
                          </w:rPr>
                        </w:pPr>
                        <w:r>
                          <w:rPr>
                            <w:rStyle w:val="PageNumber"/>
                            <w:rFonts w:ascii="Arial Narrow" w:hAnsi="Arial Narrow"/>
                            <w:sz w:val="20"/>
                            <w:szCs w:val="20"/>
                          </w:rPr>
                          <w:t>International Journal of Hematology Oncology and Stem Cell Research</w:t>
                        </w:r>
                      </w:p>
                      <w:p w:rsidR="003F0A7A" w:rsidRDefault="003F0A7A" w:rsidP="00E2671D">
                        <w:pPr>
                          <w:pStyle w:val="Footer"/>
                          <w:jc w:val="center"/>
                        </w:pPr>
                        <w:r>
                          <w:rPr>
                            <w:rStyle w:val="PageNumber"/>
                            <w:rFonts w:ascii="Arial Narrow" w:hAnsi="Arial Narrow"/>
                            <w:sz w:val="20"/>
                            <w:szCs w:val="20"/>
                          </w:rPr>
                          <w:t xml:space="preserve">ijhoscr.tums.ac.ir </w:t>
                        </w:r>
                      </w:p>
                      <w:p w:rsidR="003F0A7A" w:rsidRDefault="003F0A7A" w:rsidP="00E2671D">
                        <w:pPr>
                          <w:pStyle w:val="Footer"/>
                          <w:tabs>
                            <w:tab w:val="left" w:pos="10769"/>
                          </w:tabs>
                          <w:ind w:right="360" w:firstLine="360"/>
                          <w:jc w:val="center"/>
                        </w:pPr>
                      </w:p>
                    </w:txbxContent>
                  </v:textbox>
                  <w10:wrap anchorx="page" anchory="margin"/>
                </v:shape>
              </w:pict>
            </mc:Fallback>
          </mc:AlternateContent>
        </w:r>
        <w:sdt>
          <w:sdtPr>
            <w:id w:val="456837277"/>
            <w:docPartObj>
              <w:docPartGallery w:val="Page Numbers (Bottom of Page)"/>
              <w:docPartUnique/>
            </w:docPartObj>
          </w:sdtPr>
          <w:sdtEndPr/>
          <w:sdtContent>
            <w:r>
              <w:fldChar w:fldCharType="begin"/>
            </w:r>
            <w:r>
              <w:instrText xml:space="preserve"> PAGE   \* MERGEFORMAT </w:instrText>
            </w:r>
            <w:r>
              <w:fldChar w:fldCharType="separate"/>
            </w:r>
            <w:r w:rsidR="002E115C">
              <w:rPr>
                <w:noProof/>
              </w:rPr>
              <w:t>42</w:t>
            </w:r>
            <w:r>
              <w:rPr>
                <w:noProof/>
              </w:rPr>
              <w:fldChar w:fldCharType="end"/>
            </w:r>
          </w:sdtContent>
        </w:sdt>
      </w:p>
      <w:p w:rsidR="003F0A7A" w:rsidRDefault="003F0A7A" w:rsidP="00E2671D">
        <w:pPr>
          <w:pStyle w:val="Footer"/>
          <w:jc w:val="center"/>
        </w:pPr>
        <w:r>
          <w:rPr>
            <w:noProof/>
          </w:rPr>
          <mc:AlternateContent>
            <mc:Choice Requires="wps">
              <w:drawing>
                <wp:anchor distT="0" distB="0" distL="114300" distR="114300" simplePos="0" relativeHeight="251662336" behindDoc="0" locked="0" layoutInCell="1" allowOverlap="1" wp14:anchorId="30644ABB" wp14:editId="1293A71A">
                  <wp:simplePos x="0" y="0"/>
                  <wp:positionH relativeFrom="page">
                    <wp:posOffset>1925955</wp:posOffset>
                  </wp:positionH>
                  <wp:positionV relativeFrom="bottomMargin">
                    <wp:posOffset>310515</wp:posOffset>
                  </wp:positionV>
                  <wp:extent cx="4029710" cy="408940"/>
                  <wp:effectExtent l="0" t="0" r="2794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408940"/>
                          </a:xfrm>
                          <a:prstGeom prst="rect">
                            <a:avLst/>
                          </a:prstGeom>
                          <a:solidFill>
                            <a:srgbClr val="FFFFFF"/>
                          </a:solidFill>
                          <a:ln w="9525">
                            <a:solidFill>
                              <a:schemeClr val="bg1">
                                <a:lumMod val="100000"/>
                                <a:lumOff val="0"/>
                              </a:schemeClr>
                            </a:solidFill>
                            <a:miter lim="800000"/>
                            <a:headEnd/>
                            <a:tailEnd/>
                          </a:ln>
                        </wps:spPr>
                        <wps:txbx>
                          <w:txbxContent>
                            <w:p w:rsidR="003F0A7A" w:rsidRDefault="003F0A7A" w:rsidP="00E2671D">
                              <w:pPr>
                                <w:pStyle w:val="Footer"/>
                                <w:tabs>
                                  <w:tab w:val="left" w:pos="10769"/>
                                </w:tabs>
                                <w:ind w:right="360" w:firstLine="360"/>
                                <w:jc w:val="center"/>
                                <w:rPr>
                                  <w:rStyle w:val="PageNumber"/>
                                  <w:rFonts w:ascii="Arial Narrow" w:hAnsi="Arial Narrow"/>
                                  <w:sz w:val="20"/>
                                  <w:szCs w:val="20"/>
                                </w:rPr>
                              </w:pPr>
                              <w:r>
                                <w:rPr>
                                  <w:rStyle w:val="PageNumber"/>
                                  <w:rFonts w:ascii="Arial Narrow" w:hAnsi="Arial Narrow"/>
                                  <w:sz w:val="20"/>
                                  <w:szCs w:val="20"/>
                                </w:rPr>
                                <w:t>International Journal of Hematology Oncology and Stem Cell Research</w:t>
                              </w:r>
                            </w:p>
                            <w:p w:rsidR="003F0A7A" w:rsidRDefault="003F0A7A" w:rsidP="00E2671D">
                              <w:pPr>
                                <w:pStyle w:val="Footer"/>
                                <w:jc w:val="center"/>
                              </w:pPr>
                              <w:r>
                                <w:rPr>
                                  <w:rStyle w:val="PageNumber"/>
                                  <w:rFonts w:ascii="Arial Narrow" w:hAnsi="Arial Narrow"/>
                                  <w:sz w:val="20"/>
                                  <w:szCs w:val="20"/>
                                </w:rPr>
                                <w:t xml:space="preserve">ijhoscr.tums.ac.ir </w:t>
                              </w:r>
                            </w:p>
                            <w:p w:rsidR="003F0A7A" w:rsidRDefault="003F0A7A" w:rsidP="00E2671D">
                              <w:pPr>
                                <w:pStyle w:val="Footer"/>
                                <w:tabs>
                                  <w:tab w:val="left" w:pos="10769"/>
                                </w:tabs>
                                <w:ind w:right="360" w:firstLine="36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44ABB" id="Text Box 5" o:spid="_x0000_s1027" type="#_x0000_t202" style="position:absolute;left:0;text-align:left;margin-left:151.65pt;margin-top:24.45pt;width:317.3pt;height:32.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" strokecolor="white [3212]">
                  <v:textbox>
                    <w:txbxContent>
                      <w:p w:rsidR="003F0A7A" w:rsidRDefault="003F0A7A" w:rsidP="00E2671D">
                        <w:pPr>
                          <w:pStyle w:val="Footer"/>
                          <w:tabs>
                            <w:tab w:val="left" w:pos="10769"/>
                          </w:tabs>
                          <w:ind w:right="360" w:firstLine="360"/>
                          <w:jc w:val="center"/>
                          <w:rPr>
                            <w:rStyle w:val="PageNumber"/>
                            <w:rFonts w:ascii="Arial Narrow" w:hAnsi="Arial Narrow"/>
                            <w:sz w:val="20"/>
                            <w:szCs w:val="20"/>
                          </w:rPr>
                        </w:pPr>
                        <w:r>
                          <w:rPr>
                            <w:rStyle w:val="PageNumber"/>
                            <w:rFonts w:ascii="Arial Narrow" w:hAnsi="Arial Narrow"/>
                            <w:sz w:val="20"/>
                            <w:szCs w:val="20"/>
                          </w:rPr>
                          <w:t>International Journal of Hematology Oncology and Stem Cell Research</w:t>
                        </w:r>
                      </w:p>
                      <w:p w:rsidR="003F0A7A" w:rsidRDefault="003F0A7A" w:rsidP="00E2671D">
                        <w:pPr>
                          <w:pStyle w:val="Footer"/>
                          <w:jc w:val="center"/>
                        </w:pPr>
                        <w:r>
                          <w:rPr>
                            <w:rStyle w:val="PageNumber"/>
                            <w:rFonts w:ascii="Arial Narrow" w:hAnsi="Arial Narrow"/>
                            <w:sz w:val="20"/>
                            <w:szCs w:val="20"/>
                          </w:rPr>
                          <w:t xml:space="preserve">ijhoscr.tums.ac.ir </w:t>
                        </w:r>
                      </w:p>
                      <w:p w:rsidR="003F0A7A" w:rsidRDefault="003F0A7A" w:rsidP="00E2671D">
                        <w:pPr>
                          <w:pStyle w:val="Footer"/>
                          <w:tabs>
                            <w:tab w:val="left" w:pos="10769"/>
                          </w:tabs>
                          <w:ind w:right="360" w:firstLine="360"/>
                          <w:jc w:val="center"/>
                        </w:pPr>
                      </w:p>
                    </w:txbxContent>
                  </v:textbox>
                  <w10:wrap anchorx="page" anchory="margin"/>
                </v:shape>
              </w:pict>
            </mc:Fallback>
          </mc:AlternateContent>
        </w:r>
      </w:p>
      <w:p w:rsidR="003F0A7A" w:rsidRPr="00E2671D" w:rsidRDefault="002E115C" w:rsidP="00E2671D">
        <w:pPr>
          <w:pStyle w:val="Footer"/>
          <w:rPr>
            <w:rStyle w:val="PageNumber"/>
            <w:rFonts w:ascii="Arial Narrow" w:hAnsi="Arial Narrow"/>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3209450"/>
      <w:docPartObj>
        <w:docPartGallery w:val="Page Numbers (Bottom of Page)"/>
        <w:docPartUnique/>
      </w:docPartObj>
    </w:sdtPr>
    <w:sdtEndPr>
      <w:rPr>
        <w:noProof/>
      </w:rPr>
    </w:sdtEndPr>
    <w:sdtContent>
      <w:p w:rsidR="003F0A7A" w:rsidRDefault="003F0A7A" w:rsidP="00E2671D">
        <w:pPr>
          <w:pStyle w:val="Footer"/>
          <w:jc w:val="right"/>
        </w:pPr>
        <w:r>
          <w:fldChar w:fldCharType="begin"/>
        </w:r>
        <w:r>
          <w:instrText xml:space="preserve"> PAGE   \* MERGEFORMAT </w:instrText>
        </w:r>
        <w:r>
          <w:fldChar w:fldCharType="separate"/>
        </w:r>
        <w:r w:rsidR="002E115C">
          <w:rPr>
            <w:noProof/>
          </w:rPr>
          <w:t>41</w:t>
        </w:r>
        <w:r>
          <w:rPr>
            <w:noProof/>
          </w:rPr>
          <w:fldChar w:fldCharType="end"/>
        </w:r>
      </w:p>
    </w:sdtContent>
  </w:sdt>
  <w:p w:rsidR="003F0A7A" w:rsidRDefault="003F0A7A" w:rsidP="003E1ADA">
    <w:pPr>
      <w:pStyle w:val="Footer"/>
      <w:jc w:val="center"/>
    </w:pPr>
    <w:r>
      <w:rPr>
        <w:noProof/>
      </w:rPr>
      <mc:AlternateContent>
        <mc:Choice Requires="wps">
          <w:drawing>
            <wp:anchor distT="0" distB="0" distL="114300" distR="114300" simplePos="0" relativeHeight="251656192" behindDoc="0" locked="0" layoutInCell="1" allowOverlap="1" wp14:anchorId="7AF76D6B" wp14:editId="012D8DC6">
              <wp:simplePos x="0" y="0"/>
              <wp:positionH relativeFrom="page">
                <wp:posOffset>1925955</wp:posOffset>
              </wp:positionH>
              <wp:positionV relativeFrom="bottomMargin">
                <wp:posOffset>310515</wp:posOffset>
              </wp:positionV>
              <wp:extent cx="4029710" cy="408940"/>
              <wp:effectExtent l="0" t="0" r="27940" b="1016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408940"/>
                      </a:xfrm>
                      <a:prstGeom prst="rect">
                        <a:avLst/>
                      </a:prstGeom>
                      <a:solidFill>
                        <a:srgbClr val="FFFFFF"/>
                      </a:solidFill>
                      <a:ln w="9525">
                        <a:solidFill>
                          <a:schemeClr val="bg1">
                            <a:lumMod val="100000"/>
                            <a:lumOff val="0"/>
                          </a:schemeClr>
                        </a:solidFill>
                        <a:miter lim="800000"/>
                        <a:headEnd/>
                        <a:tailEnd/>
                      </a:ln>
                    </wps:spPr>
                    <wps:txbx>
                      <w:txbxContent>
                        <w:p w:rsidR="003F0A7A" w:rsidRDefault="003F0A7A" w:rsidP="00FA782C">
                          <w:pPr>
                            <w:pStyle w:val="Footer"/>
                            <w:tabs>
                              <w:tab w:val="left" w:pos="10769"/>
                            </w:tabs>
                            <w:ind w:right="360" w:firstLine="360"/>
                            <w:jc w:val="center"/>
                            <w:rPr>
                              <w:rStyle w:val="PageNumber"/>
                              <w:rFonts w:ascii="Arial Narrow" w:hAnsi="Arial Narrow"/>
                              <w:sz w:val="20"/>
                              <w:szCs w:val="20"/>
                            </w:rPr>
                          </w:pPr>
                          <w:r>
                            <w:rPr>
                              <w:rStyle w:val="PageNumber"/>
                              <w:rFonts w:ascii="Arial Narrow" w:hAnsi="Arial Narrow"/>
                              <w:sz w:val="20"/>
                              <w:szCs w:val="20"/>
                            </w:rPr>
                            <w:t>International Journal of Hematology Oncology and Stem Cell Research</w:t>
                          </w:r>
                        </w:p>
                        <w:p w:rsidR="003F0A7A" w:rsidRDefault="003F0A7A" w:rsidP="00FA782C">
                          <w:pPr>
                            <w:pStyle w:val="Footer"/>
                            <w:jc w:val="center"/>
                          </w:pPr>
                          <w:r>
                            <w:rPr>
                              <w:rStyle w:val="PageNumber"/>
                              <w:rFonts w:ascii="Arial Narrow" w:hAnsi="Arial Narrow"/>
                              <w:sz w:val="20"/>
                              <w:szCs w:val="20"/>
                            </w:rPr>
                            <w:t xml:space="preserve">ijhoscr.tums.ac.ir </w:t>
                          </w:r>
                        </w:p>
                        <w:p w:rsidR="003F0A7A" w:rsidRDefault="003F0A7A" w:rsidP="00FA782C">
                          <w:pPr>
                            <w:pStyle w:val="Footer"/>
                            <w:tabs>
                              <w:tab w:val="left" w:pos="10769"/>
                            </w:tabs>
                            <w:ind w:right="360" w:firstLine="36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76D6B" id="_x0000_t202" coordsize="21600,21600" o:spt="202" path="m,l,21600r21600,l21600,xe">
              <v:stroke joinstyle="miter"/>
              <v:path gradientshapeok="t" o:connecttype="rect"/>
            </v:shapetype>
            <v:shape id="Text Box 19" o:spid="_x0000_s1028" type="#_x0000_t202" style="position:absolute;left:0;text-align:left;margin-left:151.65pt;margin-top:24.45pt;width:317.3pt;height:32.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" strokecolor="white [3212]">
              <v:textbox>
                <w:txbxContent>
                  <w:p w:rsidR="003F0A7A" w:rsidRDefault="003F0A7A" w:rsidP="00FA782C">
                    <w:pPr>
                      <w:pStyle w:val="Footer"/>
                      <w:tabs>
                        <w:tab w:val="left" w:pos="10769"/>
                      </w:tabs>
                      <w:ind w:right="360" w:firstLine="360"/>
                      <w:jc w:val="center"/>
                      <w:rPr>
                        <w:rStyle w:val="PageNumber"/>
                        <w:rFonts w:ascii="Arial Narrow" w:hAnsi="Arial Narrow"/>
                        <w:sz w:val="20"/>
                        <w:szCs w:val="20"/>
                      </w:rPr>
                    </w:pPr>
                    <w:r>
                      <w:rPr>
                        <w:rStyle w:val="PageNumber"/>
                        <w:rFonts w:ascii="Arial Narrow" w:hAnsi="Arial Narrow"/>
                        <w:sz w:val="20"/>
                        <w:szCs w:val="20"/>
                      </w:rPr>
                      <w:t>International Journal of Hematology Oncology and Stem Cell Research</w:t>
                    </w:r>
                  </w:p>
                  <w:p w:rsidR="003F0A7A" w:rsidRDefault="003F0A7A" w:rsidP="00FA782C">
                    <w:pPr>
                      <w:pStyle w:val="Footer"/>
                      <w:jc w:val="center"/>
                    </w:pPr>
                    <w:r>
                      <w:rPr>
                        <w:rStyle w:val="PageNumber"/>
                        <w:rFonts w:ascii="Arial Narrow" w:hAnsi="Arial Narrow"/>
                        <w:sz w:val="20"/>
                        <w:szCs w:val="20"/>
                      </w:rPr>
                      <w:t xml:space="preserve">ijhoscr.tums.ac.ir </w:t>
                    </w:r>
                  </w:p>
                  <w:p w:rsidR="003F0A7A" w:rsidRDefault="003F0A7A" w:rsidP="00FA782C">
                    <w:pPr>
                      <w:pStyle w:val="Footer"/>
                      <w:tabs>
                        <w:tab w:val="left" w:pos="10769"/>
                      </w:tabs>
                      <w:ind w:right="360" w:firstLine="360"/>
                      <w:jc w:val="center"/>
                    </w:pPr>
                  </w:p>
                </w:txbxContent>
              </v:textbox>
              <w10:wrap anchorx="page"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7A" w:rsidRDefault="003F0A7A" w:rsidP="00D77B2C">
    <w:pPr>
      <w:pStyle w:val="Footer"/>
      <w:jc w:val="right"/>
    </w:pPr>
  </w:p>
  <w:p w:rsidR="003F0A7A" w:rsidRDefault="003F0A7A" w:rsidP="00D77B2C">
    <w:pPr>
      <w:pStyle w:val="Footer"/>
      <w:tabs>
        <w:tab w:val="center" w:pos="5040"/>
        <w:tab w:val="right" w:pos="10080"/>
      </w:tabs>
    </w:pPr>
    <w:r>
      <w:tab/>
    </w:r>
    <w:r>
      <w:tab/>
    </w:r>
    <w:r>
      <w:rPr>
        <w:noProof/>
      </w:rPr>
      <mc:AlternateContent>
        <mc:Choice Requires="wps">
          <w:drawing>
            <wp:anchor distT="0" distB="0" distL="114300" distR="114300" simplePos="0" relativeHeight="251658240" behindDoc="0" locked="0" layoutInCell="1" allowOverlap="1" wp14:anchorId="4742D647" wp14:editId="6A23431F">
              <wp:simplePos x="0" y="0"/>
              <wp:positionH relativeFrom="page">
                <wp:posOffset>1925955</wp:posOffset>
              </wp:positionH>
              <wp:positionV relativeFrom="bottomMargin">
                <wp:posOffset>310515</wp:posOffset>
              </wp:positionV>
              <wp:extent cx="4029710" cy="408940"/>
              <wp:effectExtent l="0" t="0" r="27940" b="1016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710" cy="408940"/>
                      </a:xfrm>
                      <a:prstGeom prst="rect">
                        <a:avLst/>
                      </a:prstGeom>
                      <a:solidFill>
                        <a:srgbClr val="FFFFFF"/>
                      </a:solidFill>
                      <a:ln w="9525">
                        <a:solidFill>
                          <a:schemeClr val="bg1">
                            <a:lumMod val="100000"/>
                            <a:lumOff val="0"/>
                          </a:schemeClr>
                        </a:solidFill>
                        <a:miter lim="800000"/>
                        <a:headEnd/>
                        <a:tailEnd/>
                      </a:ln>
                    </wps:spPr>
                    <wps:txbx>
                      <w:txbxContent>
                        <w:p w:rsidR="003F0A7A" w:rsidRDefault="003F0A7A" w:rsidP="006F20DD">
                          <w:pPr>
                            <w:pStyle w:val="Footer"/>
                            <w:tabs>
                              <w:tab w:val="left" w:pos="10769"/>
                            </w:tabs>
                            <w:ind w:right="360" w:firstLine="360"/>
                            <w:jc w:val="center"/>
                          </w:pPr>
                          <w:r w:rsidRPr="0042341C">
                            <w:t>IJHOSCR 1</w:t>
                          </w:r>
                          <w:r>
                            <w:t>3</w:t>
                          </w:r>
                          <w:r w:rsidRPr="0042341C">
                            <w:t>(</w:t>
                          </w:r>
                          <w:r>
                            <w:t>1</w:t>
                          </w:r>
                          <w:r w:rsidRPr="0042341C">
                            <w:t xml:space="preserve">) - ijhoscr.tums.ac.ir – </w:t>
                          </w:r>
                          <w:r>
                            <w:t>January</w:t>
                          </w:r>
                          <w:r w:rsidRPr="0042341C">
                            <w:t>, 1, 201</w:t>
                          </w:r>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2D647" id="_x0000_t202" coordsize="21600,21600" o:spt="202" path="m,l,21600r21600,l21600,xe">
              <v:stroke joinstyle="miter"/>
              <v:path gradientshapeok="t" o:connecttype="rect"/>
            </v:shapetype>
            <v:shape id="_x0000_s1030" type="#_x0000_t202" style="position:absolute;margin-left:151.65pt;margin-top:24.45pt;width:317.3pt;height:32.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" strokecolor="white [3212]">
              <v:textbox>
                <w:txbxContent>
                  <w:p w:rsidR="003F0A7A" w:rsidRDefault="003F0A7A" w:rsidP="006F20DD">
                    <w:pPr>
                      <w:pStyle w:val="Footer"/>
                      <w:tabs>
                        <w:tab w:val="left" w:pos="10769"/>
                      </w:tabs>
                      <w:ind w:right="360" w:firstLine="360"/>
                      <w:jc w:val="center"/>
                    </w:pPr>
                    <w:r w:rsidRPr="0042341C">
                      <w:t>IJHOSCR 1</w:t>
                    </w:r>
                    <w:r>
                      <w:t>3</w:t>
                    </w:r>
                    <w:r w:rsidRPr="0042341C">
                      <w:t>(</w:t>
                    </w:r>
                    <w:r>
                      <w:t>1</w:t>
                    </w:r>
                    <w:r w:rsidRPr="0042341C">
                      <w:t xml:space="preserve">) - ijhoscr.tums.ac.ir – </w:t>
                    </w:r>
                    <w:r>
                      <w:t>January</w:t>
                    </w:r>
                    <w:r w:rsidRPr="0042341C">
                      <w:t>, 1, 201</w:t>
                    </w:r>
                    <w:r>
                      <w:t>9</w:t>
                    </w:r>
                  </w:p>
                </w:txbxContent>
              </v:textbox>
              <w10:wrap anchorx="page" anchory="margin"/>
            </v:shape>
          </w:pict>
        </mc:Fallback>
      </mc:AlternateContent>
    </w:r>
    <w:r>
      <w:tab/>
    </w:r>
    <w:r>
      <w:tab/>
    </w:r>
  </w:p>
  <w:p w:rsidR="003F0A7A" w:rsidRPr="00D77B2C" w:rsidRDefault="003F0A7A" w:rsidP="00D77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7C9" w:rsidRDefault="000227C9" w:rsidP="003E1ADA">
      <w:r>
        <w:separator/>
      </w:r>
    </w:p>
  </w:footnote>
  <w:footnote w:type="continuationSeparator" w:id="0">
    <w:p w:rsidR="000227C9" w:rsidRDefault="000227C9" w:rsidP="003E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7A" w:rsidRPr="00CF5710" w:rsidRDefault="003F0A7A" w:rsidP="00CF5710">
    <w:pPr>
      <w:pStyle w:val="Footer"/>
      <w:jc w:val="center"/>
      <w:rPr>
        <w:rFonts w:asciiTheme="majorHAnsi" w:hAnsiTheme="majorHAnsi" w:cs="Times New Roman"/>
        <w:sz w:val="18"/>
        <w:szCs w:val="18"/>
      </w:rPr>
    </w:pPr>
    <w:proofErr w:type="spellStart"/>
    <w:r w:rsidRPr="00CF5710">
      <w:rPr>
        <w:rFonts w:asciiTheme="majorHAnsi" w:hAnsiTheme="majorHAnsi" w:cs="Times New Roman"/>
        <w:sz w:val="18"/>
        <w:szCs w:val="18"/>
      </w:rPr>
      <w:t>Rasha</w:t>
    </w:r>
    <w:proofErr w:type="spellEnd"/>
    <w:r w:rsidRPr="00CF5710">
      <w:rPr>
        <w:rFonts w:asciiTheme="majorHAnsi" w:hAnsiTheme="majorHAnsi" w:cs="Times New Roman"/>
        <w:sz w:val="18"/>
        <w:szCs w:val="18"/>
      </w:rPr>
      <w:t xml:space="preserve"> Abdel-</w:t>
    </w:r>
    <w:proofErr w:type="spellStart"/>
    <w:r w:rsidRPr="00CF5710">
      <w:rPr>
        <w:rFonts w:asciiTheme="majorHAnsi" w:hAnsiTheme="majorHAnsi" w:cs="Times New Roman"/>
        <w:sz w:val="18"/>
        <w:szCs w:val="18"/>
      </w:rPr>
      <w:t>Raouf</w:t>
    </w:r>
    <w:proofErr w:type="spellEnd"/>
    <w:r w:rsidRPr="00CF5710">
      <w:rPr>
        <w:rFonts w:asciiTheme="majorHAnsi" w:hAnsiTheme="majorHAnsi" w:cs="Times New Roman"/>
        <w:sz w:val="18"/>
        <w:szCs w:val="18"/>
      </w:rPr>
      <w:t xml:space="preserve"> Abdel-Aziz </w:t>
    </w:r>
    <w:proofErr w:type="spellStart"/>
    <w:r w:rsidRPr="00CF5710">
      <w:rPr>
        <w:rFonts w:asciiTheme="majorHAnsi" w:hAnsiTheme="majorHAnsi" w:cs="Times New Roman"/>
        <w:sz w:val="18"/>
        <w:szCs w:val="18"/>
      </w:rPr>
      <w:t>Afifi</w:t>
    </w:r>
    <w:proofErr w:type="spellEnd"/>
    <w:r w:rsidRPr="00CF5710">
      <w:rPr>
        <w:rStyle w:val="PageNumber"/>
        <w:rFonts w:asciiTheme="majorHAnsi" w:hAnsiTheme="majorHAnsi"/>
        <w:sz w:val="18"/>
        <w:szCs w:val="18"/>
      </w:rPr>
      <w:t>, et al.</w:t>
    </w:r>
    <w:r w:rsidRPr="00CF5710">
      <w:rPr>
        <w:rFonts w:asciiTheme="majorHAnsi" w:hAnsiTheme="majorHAnsi"/>
        <w:sz w:val="18"/>
        <w:szCs w:val="18"/>
      </w:rPr>
      <w:tab/>
      <w:t xml:space="preserve">                                                                     </w:t>
    </w:r>
    <w:r w:rsidRPr="00CF5710">
      <w:rPr>
        <w:rStyle w:val="PageNumber"/>
        <w:rFonts w:asciiTheme="majorHAnsi" w:hAnsiTheme="majorHAnsi"/>
        <w:sz w:val="18"/>
        <w:szCs w:val="18"/>
      </w:rPr>
      <w:t>IJHOSCR, 1 January. Volume 13, Number 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7A" w:rsidRPr="00B803AD" w:rsidRDefault="003F0A7A" w:rsidP="006D2906">
    <w:pPr>
      <w:pStyle w:val="a4"/>
      <w:rPr>
        <w:rFonts w:asciiTheme="majorHAnsi" w:hAnsiTheme="majorHAnsi"/>
        <w:bCs/>
        <w:sz w:val="18"/>
        <w:szCs w:val="18"/>
      </w:rPr>
    </w:pPr>
    <w:r w:rsidRPr="00E07DB4">
      <w:rPr>
        <w:rStyle w:val="PageNumber"/>
        <w:rFonts w:asciiTheme="majorHAnsi" w:hAnsiTheme="majorHAnsi"/>
        <w:sz w:val="18"/>
        <w:szCs w:val="18"/>
      </w:rPr>
      <w:t xml:space="preserve">       </w:t>
    </w:r>
    <w:r>
      <w:rPr>
        <w:rStyle w:val="PageNumber"/>
        <w:rFonts w:asciiTheme="majorHAnsi" w:hAnsiTheme="majorHAnsi"/>
        <w:sz w:val="18"/>
        <w:szCs w:val="18"/>
      </w:rPr>
      <w:t xml:space="preserve"> </w:t>
    </w:r>
    <w:r w:rsidRPr="00E07DB4">
      <w:rPr>
        <w:rStyle w:val="PageNumber"/>
        <w:rFonts w:asciiTheme="majorHAnsi" w:hAnsiTheme="majorHAnsi"/>
        <w:sz w:val="18"/>
        <w:szCs w:val="18"/>
      </w:rPr>
      <w:t xml:space="preserve">  IJHOSCR, 1 </w:t>
    </w:r>
    <w:r>
      <w:rPr>
        <w:rStyle w:val="PageNumber"/>
        <w:rFonts w:asciiTheme="majorHAnsi" w:hAnsiTheme="majorHAnsi"/>
        <w:sz w:val="18"/>
        <w:szCs w:val="18"/>
      </w:rPr>
      <w:t>January</w:t>
    </w:r>
    <w:r w:rsidRPr="00E07DB4">
      <w:rPr>
        <w:rStyle w:val="PageNumber"/>
        <w:rFonts w:asciiTheme="majorHAnsi" w:hAnsiTheme="majorHAnsi"/>
        <w:sz w:val="18"/>
        <w:szCs w:val="18"/>
      </w:rPr>
      <w:t xml:space="preserve"> 201</w:t>
    </w:r>
    <w:r>
      <w:rPr>
        <w:rStyle w:val="PageNumber"/>
        <w:rFonts w:asciiTheme="majorHAnsi" w:hAnsiTheme="majorHAnsi"/>
        <w:sz w:val="18"/>
        <w:szCs w:val="18"/>
      </w:rPr>
      <w:t>9</w:t>
    </w:r>
    <w:r w:rsidRPr="00E07DB4">
      <w:rPr>
        <w:rStyle w:val="PageNumber"/>
        <w:rFonts w:asciiTheme="majorHAnsi" w:hAnsiTheme="majorHAnsi"/>
        <w:sz w:val="18"/>
        <w:szCs w:val="18"/>
      </w:rPr>
      <w:t>. Volume 1</w:t>
    </w:r>
    <w:r>
      <w:rPr>
        <w:rStyle w:val="PageNumber"/>
        <w:rFonts w:asciiTheme="majorHAnsi" w:hAnsiTheme="majorHAnsi"/>
        <w:sz w:val="18"/>
        <w:szCs w:val="18"/>
      </w:rPr>
      <w:t>3</w:t>
    </w:r>
    <w:r w:rsidRPr="00E07DB4">
      <w:rPr>
        <w:rStyle w:val="PageNumber"/>
        <w:rFonts w:asciiTheme="majorHAnsi" w:hAnsiTheme="majorHAnsi"/>
        <w:sz w:val="18"/>
        <w:szCs w:val="18"/>
      </w:rPr>
      <w:t xml:space="preserve">, Number </w:t>
    </w:r>
    <w:r>
      <w:rPr>
        <w:rStyle w:val="PageNumber"/>
        <w:rFonts w:asciiTheme="majorHAnsi" w:hAnsiTheme="majorHAnsi"/>
        <w:sz w:val="18"/>
        <w:szCs w:val="18"/>
      </w:rPr>
      <w:t>1</w:t>
    </w:r>
    <w:r w:rsidRPr="00E07DB4">
      <w:rPr>
        <w:rStyle w:val="PageNumber"/>
        <w:rFonts w:asciiTheme="majorHAnsi" w:hAnsiTheme="majorHAnsi"/>
        <w:sz w:val="18"/>
        <w:szCs w:val="18"/>
      </w:rPr>
      <w:t xml:space="preserve">           </w:t>
    </w:r>
    <w:r w:rsidRPr="00E07DB4">
      <w:rPr>
        <w:rStyle w:val="PageNumber"/>
        <w:rFonts w:asciiTheme="majorHAnsi" w:hAnsiTheme="majorHAnsi"/>
        <w:sz w:val="18"/>
        <w:szCs w:val="18"/>
      </w:rPr>
      <w:tab/>
    </w:r>
    <w:r w:rsidRPr="00B803AD">
      <w:rPr>
        <w:rStyle w:val="PageNumber"/>
        <w:rFonts w:asciiTheme="majorHAnsi" w:hAnsiTheme="majorHAnsi"/>
        <w:bCs/>
        <w:sz w:val="18"/>
        <w:szCs w:val="18"/>
      </w:rPr>
      <w:t xml:space="preserve">                   </w:t>
    </w:r>
    <w:r w:rsidRPr="00B803AD">
      <w:rPr>
        <w:rFonts w:asciiTheme="majorHAnsi" w:hAnsiTheme="majorHAnsi"/>
        <w:bCs/>
        <w:sz w:val="18"/>
        <w:szCs w:val="18"/>
      </w:rPr>
      <w:t xml:space="preserve">IL-Iβ +3954 C / T </w:t>
    </w:r>
    <w:r>
      <w:rPr>
        <w:rFonts w:asciiTheme="majorHAnsi" w:hAnsiTheme="majorHAnsi"/>
        <w:bCs/>
        <w:sz w:val="18"/>
        <w:szCs w:val="18"/>
      </w:rPr>
      <w:t>P</w:t>
    </w:r>
    <w:r w:rsidRPr="00B803AD">
      <w:rPr>
        <w:rFonts w:asciiTheme="majorHAnsi" w:hAnsiTheme="majorHAnsi"/>
        <w:bCs/>
        <w:sz w:val="18"/>
        <w:szCs w:val="18"/>
      </w:rPr>
      <w:t>olymorphism in SCD</w:t>
    </w:r>
    <w:r>
      <w:rPr>
        <w:rFonts w:asciiTheme="majorHAnsi" w:hAnsiTheme="majorHAnsi"/>
        <w:bCs/>
        <w:sz w:val="18"/>
        <w:szCs w:val="18"/>
      </w:rPr>
      <w:t xml:space="preserve"> Patients</w:t>
    </w:r>
  </w:p>
  <w:p w:rsidR="003F0A7A" w:rsidRPr="00FC0FD3" w:rsidRDefault="003F0A7A" w:rsidP="001467EA">
    <w:pPr>
      <w:pStyle w:val="a4"/>
      <w:rPr>
        <w:rStyle w:val="PageNumber"/>
        <w:rFonts w:asciiTheme="majorHAnsi" w:hAnsiTheme="majorHAnsi"/>
        <w:color w:val="00B0F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7A" w:rsidRPr="007647DD" w:rsidRDefault="003F0A7A" w:rsidP="00AB115D">
    <w:pPr>
      <w:pStyle w:val="Header"/>
      <w:spacing w:before="360"/>
      <w:rPr>
        <w:rFonts w:ascii="Times New Roman" w:hAnsi="Times New Roman" w:cs="Times New Roman"/>
        <w:i/>
        <w:iCs/>
        <w:color w:val="C00000"/>
        <w:sz w:val="60"/>
        <w:szCs w:val="60"/>
      </w:rPr>
    </w:pPr>
    <w:r w:rsidRPr="007647DD">
      <w:rPr>
        <w:rFonts w:ascii="Times New Roman" w:hAnsi="Times New Roman" w:cs="Times New Roman"/>
        <w:i/>
        <w:iCs/>
        <w:noProof/>
        <w:color w:val="C00000"/>
        <w:sz w:val="60"/>
        <w:szCs w:val="60"/>
      </w:rPr>
      <mc:AlternateContent>
        <mc:Choice Requires="wps">
          <w:drawing>
            <wp:anchor distT="0" distB="0" distL="114300" distR="114300" simplePos="0" relativeHeight="251654144" behindDoc="0" locked="0" layoutInCell="1" allowOverlap="1" wp14:anchorId="744C5BFA" wp14:editId="307170F8">
              <wp:simplePos x="0" y="0"/>
              <wp:positionH relativeFrom="column">
                <wp:posOffset>4434205</wp:posOffset>
              </wp:positionH>
              <wp:positionV relativeFrom="paragraph">
                <wp:posOffset>388620</wp:posOffset>
              </wp:positionV>
              <wp:extent cx="1475105" cy="336550"/>
              <wp:effectExtent l="0" t="0" r="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105" cy="336550"/>
                      </a:xfrm>
                      <a:prstGeom prst="rect">
                        <a:avLst/>
                      </a:prstGeom>
                      <a:noFill/>
                      <a:ln>
                        <a:noFill/>
                      </a:ln>
                      <a:effectLst/>
                      <a:extLst>
                        <a:ext uri="{909E8E84-426E-40DD-AFC4-6F175D3DCCD1}">
                          <a14:hiddenFill xmlns:a14="http://schemas.microsoft.com/office/drawing/2010/main">
                            <a:gradFill rotWithShape="0">
                              <a:gsLst>
                                <a:gs pos="0">
                                  <a:schemeClr val="lt1">
                                    <a:lumMod val="100000"/>
                                    <a:lumOff val="0"/>
                                  </a:schemeClr>
                                </a:gs>
                                <a:gs pos="100000">
                                  <a:schemeClr val="accent1">
                                    <a:lumMod val="40000"/>
                                    <a:lumOff val="60000"/>
                                  </a:schemeClr>
                                </a:gs>
                              </a:gsLst>
                              <a:lin ang="5400000" scaled="1"/>
                            </a:gradFill>
                          </a14:hiddenFill>
                        </a:ext>
                        <a:ext uri="{91240B29-F687-4F45-9708-019B960494DF}">
                          <a14:hiddenLine xmlns:a14="http://schemas.microsoft.com/office/drawing/2010/main" w="12700">
                            <a:solidFill>
                              <a:schemeClr val="accent1">
                                <a:lumMod val="60000"/>
                                <a:lumOff val="40000"/>
                              </a:schemeClr>
                            </a:solidFill>
                            <a:miter lim="800000"/>
                            <a:headEnd/>
                            <a:tailEnd/>
                          </a14:hiddenLine>
                        </a:ext>
                      </a:extLst>
                    </wps:spPr>
                    <wps:txbx>
                      <w:txbxContent>
                        <w:p w:rsidR="003F0A7A" w:rsidRPr="007647DD" w:rsidRDefault="003F0A7A" w:rsidP="00DC3787">
                          <w:pPr>
                            <w:jc w:val="center"/>
                            <w:rPr>
                              <w:rFonts w:ascii="Calibri" w:hAnsi="Calibri"/>
                              <w:b/>
                              <w:bCs/>
                              <w:sz w:val="28"/>
                              <w:szCs w:val="28"/>
                            </w:rPr>
                          </w:pPr>
                          <w:r w:rsidRPr="007647DD">
                            <w:rPr>
                              <w:rFonts w:ascii="Calibri" w:hAnsi="Calibri"/>
                              <w:b/>
                              <w:bCs/>
                              <w:sz w:val="28"/>
                              <w:szCs w:val="28"/>
                            </w:rPr>
                            <w:t>Original Article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C5BFA" id="_x0000_t202" coordsize="21600,21600" o:spt="202" path="m,l,21600r21600,l21600,xe">
              <v:stroke joinstyle="miter"/>
              <v:path gradientshapeok="t" o:connecttype="rect"/>
            </v:shapetype>
            <v:shape id="Text Box 2" o:spid="_x0000_s1029" type="#_x0000_t202" style="position:absolute;margin-left:349.15pt;margin-top:30.6pt;width:116.15pt;height:2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" filled="f" fillcolor="white [3201]" stroked="f" strokecolor="#95b3d7 [1940]" strokeweight="1pt">
              <v:fill color2="#b8cce4 [1300]" focus="100%" type="gradient"/>
              <v:textbox>
                <w:txbxContent>
                  <w:p w:rsidR="003F0A7A" w:rsidRPr="007647DD" w:rsidRDefault="003F0A7A" w:rsidP="00DC3787">
                    <w:pPr>
                      <w:jc w:val="center"/>
                      <w:rPr>
                        <w:rFonts w:ascii="Calibri" w:hAnsi="Calibri"/>
                        <w:b/>
                        <w:bCs/>
                        <w:sz w:val="28"/>
                        <w:szCs w:val="28"/>
                      </w:rPr>
                    </w:pPr>
                    <w:r w:rsidRPr="007647DD">
                      <w:rPr>
                        <w:rFonts w:ascii="Calibri" w:hAnsi="Calibri"/>
                        <w:b/>
                        <w:bCs/>
                        <w:sz w:val="28"/>
                        <w:szCs w:val="28"/>
                      </w:rPr>
                      <w:t>Original Article</w:t>
                    </w:r>
                  </w:p>
                </w:txbxContent>
              </v:textbox>
            </v:shape>
          </w:pict>
        </mc:Fallback>
      </mc:AlternateContent>
    </w:r>
    <w:r w:rsidRPr="007647DD">
      <w:rPr>
        <w:rFonts w:ascii="Times New Roman" w:hAnsi="Times New Roman" w:cs="Times New Roman"/>
        <w:i/>
        <w:iCs/>
        <w:color w:val="C00000"/>
        <w:sz w:val="60"/>
        <w:szCs w:val="60"/>
      </w:rPr>
      <w:t>IJHOSCR</w:t>
    </w:r>
  </w:p>
  <w:p w:rsidR="003F0A7A" w:rsidRPr="007647DD" w:rsidRDefault="003F0A7A" w:rsidP="007647DD">
    <w:pPr>
      <w:pStyle w:val="Header"/>
      <w:pBdr>
        <w:top w:val="single" w:sz="18" w:space="1" w:color="auto"/>
      </w:pBdr>
      <w:shd w:val="clear" w:color="auto" w:fill="FFFFFF"/>
      <w:rPr>
        <w:color w:val="171717"/>
      </w:rPr>
    </w:pPr>
    <w:r w:rsidRPr="007647DD">
      <w:rPr>
        <w:b/>
        <w:bCs/>
        <w:color w:val="171717"/>
        <w:lang w:bidi="fa-IR"/>
      </w:rPr>
      <w:t>International Journal of Hematology-Oncology and Stem Cell Research</w:t>
    </w:r>
  </w:p>
  <w:p w:rsidR="003F0A7A" w:rsidRDefault="003F0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B486C"/>
    <w:multiLevelType w:val="hybridMultilevel"/>
    <w:tmpl w:val="A5DEA5A8"/>
    <w:lvl w:ilvl="0" w:tplc="002C19B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375B6D"/>
    <w:multiLevelType w:val="hybridMultilevel"/>
    <w:tmpl w:val="5C30F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095F"/>
    <w:multiLevelType w:val="hybridMultilevel"/>
    <w:tmpl w:val="6D70D496"/>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nsid w:val="0CCB7EEE"/>
    <w:multiLevelType w:val="hybridMultilevel"/>
    <w:tmpl w:val="D5C2296E"/>
    <w:lvl w:ilvl="0" w:tplc="E5126222">
      <w:start w:val="1"/>
      <w:numFmt w:val="lowerLetter"/>
      <w:lvlText w:val="%1."/>
      <w:lvlJc w:val="left"/>
      <w:pPr>
        <w:ind w:left="360" w:hanging="360"/>
      </w:pPr>
      <w:rPr>
        <w:rFonts w:asciiTheme="minorHAnsi" w:eastAsia="Times New Roman" w:hAnsiTheme="minorHAnsi" w:cs="Times New Roman" w:hint="default"/>
        <w:color w:val="auto"/>
        <w:sz w:val="22"/>
        <w:szCs w:val="22"/>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4">
    <w:nsid w:val="0DA36466"/>
    <w:multiLevelType w:val="hybridMultilevel"/>
    <w:tmpl w:val="D598E30E"/>
    <w:styleLink w:val="ImportedStyle2"/>
    <w:lvl w:ilvl="0" w:tplc="13B8F97A">
      <w:start w:val="1"/>
      <w:numFmt w:val="bullet"/>
      <w:lvlText w:val="•"/>
      <w:lvlJc w:val="left"/>
      <w:pPr>
        <w:tabs>
          <w:tab w:val="num" w:pos="1416"/>
        </w:tabs>
        <w:ind w:left="14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3CB028">
      <w:start w:val="1"/>
      <w:numFmt w:val="bullet"/>
      <w:lvlText w:val="o"/>
      <w:lvlJc w:val="left"/>
      <w:pPr>
        <w:tabs>
          <w:tab w:val="num" w:pos="2124"/>
        </w:tabs>
        <w:ind w:left="214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662278">
      <w:start w:val="1"/>
      <w:numFmt w:val="bullet"/>
      <w:lvlText w:val="▪"/>
      <w:lvlJc w:val="left"/>
      <w:pPr>
        <w:tabs>
          <w:tab w:val="num" w:pos="2832"/>
        </w:tabs>
        <w:ind w:left="285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A8A69A">
      <w:start w:val="1"/>
      <w:numFmt w:val="bullet"/>
      <w:lvlText w:val="•"/>
      <w:lvlJc w:val="left"/>
      <w:pPr>
        <w:tabs>
          <w:tab w:val="num" w:pos="3540"/>
        </w:tabs>
        <w:ind w:left="3564" w:hanging="32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C6BE7E">
      <w:start w:val="1"/>
      <w:numFmt w:val="bullet"/>
      <w:lvlText w:val="o"/>
      <w:lvlJc w:val="left"/>
      <w:pPr>
        <w:tabs>
          <w:tab w:val="num" w:pos="4248"/>
        </w:tabs>
        <w:ind w:left="427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B0328E">
      <w:start w:val="1"/>
      <w:numFmt w:val="bullet"/>
      <w:lvlText w:val="▪"/>
      <w:lvlJc w:val="left"/>
      <w:pPr>
        <w:tabs>
          <w:tab w:val="num" w:pos="4956"/>
        </w:tabs>
        <w:ind w:left="498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06C136">
      <w:start w:val="1"/>
      <w:numFmt w:val="bullet"/>
      <w:lvlText w:val="•"/>
      <w:lvlJc w:val="left"/>
      <w:pPr>
        <w:tabs>
          <w:tab w:val="num" w:pos="5664"/>
        </w:tabs>
        <w:ind w:left="5688" w:hanging="288"/>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A4420C">
      <w:start w:val="1"/>
      <w:numFmt w:val="bullet"/>
      <w:lvlText w:val="o"/>
      <w:lvlJc w:val="left"/>
      <w:pPr>
        <w:tabs>
          <w:tab w:val="num" w:pos="6372"/>
        </w:tabs>
        <w:ind w:left="639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D82570">
      <w:start w:val="1"/>
      <w:numFmt w:val="bullet"/>
      <w:lvlText w:val="▪"/>
      <w:lvlJc w:val="left"/>
      <w:pPr>
        <w:tabs>
          <w:tab w:val="num" w:pos="7080"/>
        </w:tabs>
        <w:ind w:left="710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4611225"/>
    <w:multiLevelType w:val="hybridMultilevel"/>
    <w:tmpl w:val="C7E66CDE"/>
    <w:lvl w:ilvl="0" w:tplc="132AB36E">
      <w:start w:val="1"/>
      <w:numFmt w:val="decimal"/>
      <w:lvlText w:val="%1."/>
      <w:lvlJc w:val="left"/>
      <w:pPr>
        <w:ind w:left="720" w:hanging="360"/>
      </w:pPr>
      <w:rPr>
        <w:rFonts w:asciiTheme="majorBidi" w:eastAsiaTheme="minorHAnsi" w:hAnsiTheme="majorBidi" w:cs="B Nazani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D34A09"/>
    <w:multiLevelType w:val="hybridMultilevel"/>
    <w:tmpl w:val="EA543066"/>
    <w:lvl w:ilvl="0" w:tplc="AAF64086">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5056D"/>
    <w:multiLevelType w:val="hybridMultilevel"/>
    <w:tmpl w:val="757CAA52"/>
    <w:lvl w:ilvl="0" w:tplc="68AAB04A">
      <w:start w:val="1"/>
      <w:numFmt w:val="decimal"/>
      <w:lvlText w:val="%1-"/>
      <w:lvlJc w:val="left"/>
      <w:pPr>
        <w:ind w:left="720" w:hanging="36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BD67804"/>
    <w:multiLevelType w:val="hybridMultilevel"/>
    <w:tmpl w:val="B58424C6"/>
    <w:lvl w:ilvl="0" w:tplc="E5CC875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927568E"/>
    <w:multiLevelType w:val="hybridMultilevel"/>
    <w:tmpl w:val="B3BCBDE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681ACA"/>
    <w:multiLevelType w:val="hybridMultilevel"/>
    <w:tmpl w:val="830E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E0D4A"/>
    <w:multiLevelType w:val="hybridMultilevel"/>
    <w:tmpl w:val="D598E30E"/>
    <w:numStyleLink w:val="ImportedStyle2"/>
  </w:abstractNum>
  <w:abstractNum w:abstractNumId="12">
    <w:nsid w:val="407057EB"/>
    <w:multiLevelType w:val="hybridMultilevel"/>
    <w:tmpl w:val="3D2E9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414A6"/>
    <w:multiLevelType w:val="hybridMultilevel"/>
    <w:tmpl w:val="9CDE6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6A1E2E"/>
    <w:multiLevelType w:val="hybridMultilevel"/>
    <w:tmpl w:val="2DB4984C"/>
    <w:lvl w:ilvl="0" w:tplc="248083EA">
      <w:start w:val="1"/>
      <w:numFmt w:val="decimal"/>
      <w:lvlText w:val="%1."/>
      <w:lvlJc w:val="left"/>
      <w:pPr>
        <w:ind w:left="720" w:hanging="360"/>
      </w:pPr>
      <w:rPr>
        <w:rFonts w:asciiTheme="majorBidi" w:eastAsiaTheme="minorEastAsia" w:hAnsiTheme="majorBidi" w:cstheme="majorBidi"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62243"/>
    <w:multiLevelType w:val="hybridMultilevel"/>
    <w:tmpl w:val="AB96305E"/>
    <w:lvl w:ilvl="0" w:tplc="CC7641BA">
      <w:start w:val="1"/>
      <w:numFmt w:val="lowerLetter"/>
      <w:lvlText w:val="%1."/>
      <w:lvlJc w:val="left"/>
      <w:pPr>
        <w:tabs>
          <w:tab w:val="num" w:pos="-360"/>
        </w:tabs>
      </w:pPr>
      <w:rPr>
        <w:rFonts w:ascii="Times New Roman" w:eastAsia="Times New Roman" w:hAnsi="Times New Roman" w:cs="Times New Roman"/>
      </w:rPr>
    </w:lvl>
    <w:lvl w:ilvl="1" w:tplc="04090019">
      <w:start w:val="1"/>
      <w:numFmt w:val="lowerLetter"/>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360"/>
        </w:tabs>
        <w:ind w:left="360" w:hanging="180"/>
      </w:pPr>
      <w:rPr>
        <w:rFonts w:cs="Times New Roman"/>
      </w:rPr>
    </w:lvl>
    <w:lvl w:ilvl="3" w:tplc="0409000F" w:tentative="1">
      <w:start w:val="1"/>
      <w:numFmt w:val="decimal"/>
      <w:lvlText w:val="%4."/>
      <w:lvlJc w:val="left"/>
      <w:pPr>
        <w:tabs>
          <w:tab w:val="num" w:pos="1080"/>
        </w:tabs>
        <w:ind w:left="1080" w:hanging="360"/>
      </w:pPr>
      <w:rPr>
        <w:rFonts w:cs="Times New Roman"/>
      </w:rPr>
    </w:lvl>
    <w:lvl w:ilvl="4" w:tplc="04090019" w:tentative="1">
      <w:start w:val="1"/>
      <w:numFmt w:val="lowerLetter"/>
      <w:lvlText w:val="%5."/>
      <w:lvlJc w:val="left"/>
      <w:pPr>
        <w:tabs>
          <w:tab w:val="num" w:pos="1800"/>
        </w:tabs>
        <w:ind w:left="1800" w:hanging="360"/>
      </w:pPr>
      <w:rPr>
        <w:rFonts w:cs="Times New Roman"/>
      </w:rPr>
    </w:lvl>
    <w:lvl w:ilvl="5" w:tplc="0409001B" w:tentative="1">
      <w:start w:val="1"/>
      <w:numFmt w:val="lowerRoman"/>
      <w:lvlText w:val="%6."/>
      <w:lvlJc w:val="right"/>
      <w:pPr>
        <w:tabs>
          <w:tab w:val="num" w:pos="2520"/>
        </w:tabs>
        <w:ind w:left="2520" w:hanging="180"/>
      </w:pPr>
      <w:rPr>
        <w:rFonts w:cs="Times New Roman"/>
      </w:rPr>
    </w:lvl>
    <w:lvl w:ilvl="6" w:tplc="0409000F" w:tentative="1">
      <w:start w:val="1"/>
      <w:numFmt w:val="decimal"/>
      <w:lvlText w:val="%7."/>
      <w:lvlJc w:val="left"/>
      <w:pPr>
        <w:tabs>
          <w:tab w:val="num" w:pos="3240"/>
        </w:tabs>
        <w:ind w:left="3240" w:hanging="360"/>
      </w:pPr>
      <w:rPr>
        <w:rFonts w:cs="Times New Roman"/>
      </w:rPr>
    </w:lvl>
    <w:lvl w:ilvl="7" w:tplc="04090019" w:tentative="1">
      <w:start w:val="1"/>
      <w:numFmt w:val="lowerLetter"/>
      <w:lvlText w:val="%8."/>
      <w:lvlJc w:val="left"/>
      <w:pPr>
        <w:tabs>
          <w:tab w:val="num" w:pos="3960"/>
        </w:tabs>
        <w:ind w:left="3960" w:hanging="360"/>
      </w:pPr>
      <w:rPr>
        <w:rFonts w:cs="Times New Roman"/>
      </w:rPr>
    </w:lvl>
    <w:lvl w:ilvl="8" w:tplc="0409001B" w:tentative="1">
      <w:start w:val="1"/>
      <w:numFmt w:val="lowerRoman"/>
      <w:lvlText w:val="%9."/>
      <w:lvlJc w:val="right"/>
      <w:pPr>
        <w:tabs>
          <w:tab w:val="num" w:pos="4680"/>
        </w:tabs>
        <w:ind w:left="4680" w:hanging="180"/>
      </w:pPr>
      <w:rPr>
        <w:rFonts w:cs="Times New Roman"/>
      </w:rPr>
    </w:lvl>
  </w:abstractNum>
  <w:abstractNum w:abstractNumId="16">
    <w:nsid w:val="6184436B"/>
    <w:multiLevelType w:val="hybridMultilevel"/>
    <w:tmpl w:val="3A0A07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F36DDC"/>
    <w:multiLevelType w:val="hybridMultilevel"/>
    <w:tmpl w:val="52AA9FF0"/>
    <w:lvl w:ilvl="0" w:tplc="3280BE54">
      <w:start w:val="1"/>
      <w:numFmt w:val="decimal"/>
      <w:pStyle w:val="a"/>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663F4E21"/>
    <w:multiLevelType w:val="hybridMultilevel"/>
    <w:tmpl w:val="35B24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417B2"/>
    <w:multiLevelType w:val="hybridMultilevel"/>
    <w:tmpl w:val="052CB75C"/>
    <w:lvl w:ilvl="0" w:tplc="3214AA08">
      <w:start w:val="1"/>
      <w:numFmt w:val="decimal"/>
      <w:lvlText w:val="%1."/>
      <w:lvlJc w:val="left"/>
      <w:pPr>
        <w:tabs>
          <w:tab w:val="num" w:pos="810"/>
        </w:tabs>
        <w:ind w:left="810" w:hanging="360"/>
      </w:pPr>
      <w:rPr>
        <w:rFonts w:hint="default"/>
        <w:b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75505673"/>
    <w:multiLevelType w:val="hybridMultilevel"/>
    <w:tmpl w:val="E0F26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lvlOverride w:ilvl="0">
      <w:startOverride w:val="1"/>
    </w:lvlOverride>
  </w:num>
  <w:num w:numId="2">
    <w:abstractNumId w:val="17"/>
    <w:lvlOverride w:ilvl="0">
      <w:startOverride w:val="1"/>
    </w:lvlOverride>
  </w:num>
  <w:num w:numId="3">
    <w:abstractNumId w:val="17"/>
    <w:lvlOverride w:ilvl="0">
      <w:startOverride w:val="1"/>
    </w:lvlOverride>
  </w:num>
  <w:num w:numId="4">
    <w:abstractNumId w:val="17"/>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7"/>
    <w:lvlOverride w:ilvl="0">
      <w:startOverride w:val="1"/>
    </w:lvlOverride>
  </w:num>
  <w:num w:numId="8">
    <w:abstractNumId w:val="15"/>
  </w:num>
  <w:num w:numId="9">
    <w:abstractNumId w:val="3"/>
  </w:num>
  <w:num w:numId="10">
    <w:abstractNumId w:val="19"/>
  </w:num>
  <w:num w:numId="11">
    <w:abstractNumId w:val="14"/>
  </w:num>
  <w:num w:numId="12">
    <w:abstractNumId w:val="7"/>
  </w:num>
  <w:num w:numId="13">
    <w:abstractNumId w:val="9"/>
  </w:num>
  <w:num w:numId="14">
    <w:abstractNumId w:val="5"/>
  </w:num>
  <w:num w:numId="15">
    <w:abstractNumId w:val="6"/>
  </w:num>
  <w:num w:numId="16">
    <w:abstractNumId w:val="13"/>
  </w:num>
  <w:num w:numId="17">
    <w:abstractNumId w:val="4"/>
  </w:num>
  <w:num w:numId="18">
    <w:abstractNumId w:val="11"/>
  </w:num>
  <w:num w:numId="19">
    <w:abstractNumId w:val="12"/>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num>
  <w:num w:numId="23">
    <w:abstractNumId w:val="18"/>
  </w:num>
  <w:num w:numId="24">
    <w:abstractNumId w:val="1"/>
  </w:num>
  <w:num w:numId="25">
    <w:abstractNumId w:val="8"/>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ADA"/>
    <w:rsid w:val="00001C27"/>
    <w:rsid w:val="000043EC"/>
    <w:rsid w:val="00004F3B"/>
    <w:rsid w:val="000050FE"/>
    <w:rsid w:val="000053BA"/>
    <w:rsid w:val="00006A48"/>
    <w:rsid w:val="000125F9"/>
    <w:rsid w:val="0001270F"/>
    <w:rsid w:val="0001416D"/>
    <w:rsid w:val="00014314"/>
    <w:rsid w:val="00015365"/>
    <w:rsid w:val="00020BE0"/>
    <w:rsid w:val="00021D53"/>
    <w:rsid w:val="00022073"/>
    <w:rsid w:val="000227C9"/>
    <w:rsid w:val="00023FDC"/>
    <w:rsid w:val="00024AA1"/>
    <w:rsid w:val="0002648C"/>
    <w:rsid w:val="00032660"/>
    <w:rsid w:val="000335BE"/>
    <w:rsid w:val="000340A1"/>
    <w:rsid w:val="00034E32"/>
    <w:rsid w:val="0003517D"/>
    <w:rsid w:val="00036514"/>
    <w:rsid w:val="00036BA1"/>
    <w:rsid w:val="00040806"/>
    <w:rsid w:val="000419D4"/>
    <w:rsid w:val="00041B39"/>
    <w:rsid w:val="00043988"/>
    <w:rsid w:val="00043D78"/>
    <w:rsid w:val="000448A4"/>
    <w:rsid w:val="00044C21"/>
    <w:rsid w:val="00051047"/>
    <w:rsid w:val="00052661"/>
    <w:rsid w:val="000528AF"/>
    <w:rsid w:val="00052C28"/>
    <w:rsid w:val="00053263"/>
    <w:rsid w:val="00056886"/>
    <w:rsid w:val="0006094A"/>
    <w:rsid w:val="00063AE6"/>
    <w:rsid w:val="0006462F"/>
    <w:rsid w:val="00064B60"/>
    <w:rsid w:val="00065175"/>
    <w:rsid w:val="000653B4"/>
    <w:rsid w:val="00065E44"/>
    <w:rsid w:val="000666A4"/>
    <w:rsid w:val="00067626"/>
    <w:rsid w:val="000702CD"/>
    <w:rsid w:val="00071D10"/>
    <w:rsid w:val="000725D7"/>
    <w:rsid w:val="000728F4"/>
    <w:rsid w:val="00072FE2"/>
    <w:rsid w:val="00073D14"/>
    <w:rsid w:val="00074F47"/>
    <w:rsid w:val="00075B74"/>
    <w:rsid w:val="00075FBE"/>
    <w:rsid w:val="00076F58"/>
    <w:rsid w:val="00080CCF"/>
    <w:rsid w:val="00084057"/>
    <w:rsid w:val="00084E39"/>
    <w:rsid w:val="000862AA"/>
    <w:rsid w:val="0008769F"/>
    <w:rsid w:val="0008772A"/>
    <w:rsid w:val="0009386B"/>
    <w:rsid w:val="00093F1B"/>
    <w:rsid w:val="000942B8"/>
    <w:rsid w:val="00094882"/>
    <w:rsid w:val="000959BC"/>
    <w:rsid w:val="000A1248"/>
    <w:rsid w:val="000A5A8A"/>
    <w:rsid w:val="000A6800"/>
    <w:rsid w:val="000A791E"/>
    <w:rsid w:val="000B4EAF"/>
    <w:rsid w:val="000C4C6B"/>
    <w:rsid w:val="000C52F6"/>
    <w:rsid w:val="000C5FC0"/>
    <w:rsid w:val="000C6C5A"/>
    <w:rsid w:val="000C7B89"/>
    <w:rsid w:val="000D1555"/>
    <w:rsid w:val="000D1E87"/>
    <w:rsid w:val="000D22BC"/>
    <w:rsid w:val="000D327A"/>
    <w:rsid w:val="000D589E"/>
    <w:rsid w:val="000E09FD"/>
    <w:rsid w:val="000E1200"/>
    <w:rsid w:val="000E3C2C"/>
    <w:rsid w:val="000E4BEE"/>
    <w:rsid w:val="000F0073"/>
    <w:rsid w:val="000F2755"/>
    <w:rsid w:val="000F36AF"/>
    <w:rsid w:val="000F48C4"/>
    <w:rsid w:val="000F48E2"/>
    <w:rsid w:val="000F4BE8"/>
    <w:rsid w:val="00100A62"/>
    <w:rsid w:val="00102B25"/>
    <w:rsid w:val="0010499A"/>
    <w:rsid w:val="001062AB"/>
    <w:rsid w:val="00111A48"/>
    <w:rsid w:val="00111D1F"/>
    <w:rsid w:val="00112FED"/>
    <w:rsid w:val="00113552"/>
    <w:rsid w:val="001138D7"/>
    <w:rsid w:val="001235E5"/>
    <w:rsid w:val="00125219"/>
    <w:rsid w:val="001260C3"/>
    <w:rsid w:val="001273D8"/>
    <w:rsid w:val="0012788E"/>
    <w:rsid w:val="00130146"/>
    <w:rsid w:val="00130301"/>
    <w:rsid w:val="00130B89"/>
    <w:rsid w:val="00131CF4"/>
    <w:rsid w:val="00132BE5"/>
    <w:rsid w:val="00133A5B"/>
    <w:rsid w:val="00133D7E"/>
    <w:rsid w:val="00135241"/>
    <w:rsid w:val="00135F14"/>
    <w:rsid w:val="00136BD5"/>
    <w:rsid w:val="0014026B"/>
    <w:rsid w:val="001410D2"/>
    <w:rsid w:val="00141B51"/>
    <w:rsid w:val="00144EC9"/>
    <w:rsid w:val="001467EA"/>
    <w:rsid w:val="00146E96"/>
    <w:rsid w:val="00147BEF"/>
    <w:rsid w:val="00150F13"/>
    <w:rsid w:val="001522A1"/>
    <w:rsid w:val="00152AB0"/>
    <w:rsid w:val="001532CD"/>
    <w:rsid w:val="001563F0"/>
    <w:rsid w:val="001650EE"/>
    <w:rsid w:val="00166494"/>
    <w:rsid w:val="00167BD3"/>
    <w:rsid w:val="00170E55"/>
    <w:rsid w:val="00172128"/>
    <w:rsid w:val="001728C8"/>
    <w:rsid w:val="00175093"/>
    <w:rsid w:val="00176985"/>
    <w:rsid w:val="00176B96"/>
    <w:rsid w:val="00181A21"/>
    <w:rsid w:val="00183A79"/>
    <w:rsid w:val="001876D7"/>
    <w:rsid w:val="001912A7"/>
    <w:rsid w:val="00191AA6"/>
    <w:rsid w:val="00194BAF"/>
    <w:rsid w:val="0019676E"/>
    <w:rsid w:val="001A0DCA"/>
    <w:rsid w:val="001B0F79"/>
    <w:rsid w:val="001B2B17"/>
    <w:rsid w:val="001B4D35"/>
    <w:rsid w:val="001B5B3D"/>
    <w:rsid w:val="001B6337"/>
    <w:rsid w:val="001B749B"/>
    <w:rsid w:val="001B771E"/>
    <w:rsid w:val="001B7B22"/>
    <w:rsid w:val="001C25D4"/>
    <w:rsid w:val="001C273F"/>
    <w:rsid w:val="001C376C"/>
    <w:rsid w:val="001C550D"/>
    <w:rsid w:val="001D09B6"/>
    <w:rsid w:val="001D24D0"/>
    <w:rsid w:val="001D3190"/>
    <w:rsid w:val="001D4799"/>
    <w:rsid w:val="001D4B93"/>
    <w:rsid w:val="001D4CAF"/>
    <w:rsid w:val="001D71B6"/>
    <w:rsid w:val="001D7CFD"/>
    <w:rsid w:val="001E32A4"/>
    <w:rsid w:val="001E37EB"/>
    <w:rsid w:val="001E3BEF"/>
    <w:rsid w:val="001E54D1"/>
    <w:rsid w:val="001E557D"/>
    <w:rsid w:val="001F0337"/>
    <w:rsid w:val="001F3AED"/>
    <w:rsid w:val="001F42A3"/>
    <w:rsid w:val="001F704C"/>
    <w:rsid w:val="001F745F"/>
    <w:rsid w:val="001F77AF"/>
    <w:rsid w:val="001F7E09"/>
    <w:rsid w:val="00201B23"/>
    <w:rsid w:val="00211A61"/>
    <w:rsid w:val="00213EBF"/>
    <w:rsid w:val="00213ED9"/>
    <w:rsid w:val="00214539"/>
    <w:rsid w:val="00216111"/>
    <w:rsid w:val="00217AF2"/>
    <w:rsid w:val="002207BE"/>
    <w:rsid w:val="002212EB"/>
    <w:rsid w:val="002213D2"/>
    <w:rsid w:val="002224C6"/>
    <w:rsid w:val="00224FC6"/>
    <w:rsid w:val="00226EA4"/>
    <w:rsid w:val="00227069"/>
    <w:rsid w:val="00231567"/>
    <w:rsid w:val="00231E8F"/>
    <w:rsid w:val="00232870"/>
    <w:rsid w:val="00235FEB"/>
    <w:rsid w:val="0023633A"/>
    <w:rsid w:val="00240612"/>
    <w:rsid w:val="00242752"/>
    <w:rsid w:val="00245695"/>
    <w:rsid w:val="002470F3"/>
    <w:rsid w:val="0025033D"/>
    <w:rsid w:val="002534F2"/>
    <w:rsid w:val="00255C5A"/>
    <w:rsid w:val="00256F61"/>
    <w:rsid w:val="0026052C"/>
    <w:rsid w:val="0026115A"/>
    <w:rsid w:val="00263024"/>
    <w:rsid w:val="00265A1D"/>
    <w:rsid w:val="002700F5"/>
    <w:rsid w:val="00270E01"/>
    <w:rsid w:val="002717EB"/>
    <w:rsid w:val="00280468"/>
    <w:rsid w:val="00280A15"/>
    <w:rsid w:val="00281AF3"/>
    <w:rsid w:val="00282B98"/>
    <w:rsid w:val="00283349"/>
    <w:rsid w:val="00284C5B"/>
    <w:rsid w:val="0028672A"/>
    <w:rsid w:val="00286C15"/>
    <w:rsid w:val="002906E6"/>
    <w:rsid w:val="002912C5"/>
    <w:rsid w:val="00291D87"/>
    <w:rsid w:val="002936C1"/>
    <w:rsid w:val="00294C4B"/>
    <w:rsid w:val="00294EBA"/>
    <w:rsid w:val="00295A9A"/>
    <w:rsid w:val="00296323"/>
    <w:rsid w:val="002968D0"/>
    <w:rsid w:val="0029711D"/>
    <w:rsid w:val="002A022D"/>
    <w:rsid w:val="002A1640"/>
    <w:rsid w:val="002A1E9A"/>
    <w:rsid w:val="002A42E0"/>
    <w:rsid w:val="002A5628"/>
    <w:rsid w:val="002B13B6"/>
    <w:rsid w:val="002B3E65"/>
    <w:rsid w:val="002B773B"/>
    <w:rsid w:val="002C1892"/>
    <w:rsid w:val="002C25B6"/>
    <w:rsid w:val="002C5F25"/>
    <w:rsid w:val="002C6FE5"/>
    <w:rsid w:val="002D0766"/>
    <w:rsid w:val="002D1F8C"/>
    <w:rsid w:val="002D25CE"/>
    <w:rsid w:val="002D346E"/>
    <w:rsid w:val="002D41E3"/>
    <w:rsid w:val="002D5F0B"/>
    <w:rsid w:val="002E10B5"/>
    <w:rsid w:val="002E115C"/>
    <w:rsid w:val="002E11A3"/>
    <w:rsid w:val="002E2447"/>
    <w:rsid w:val="002E26CA"/>
    <w:rsid w:val="002E5029"/>
    <w:rsid w:val="002E66BC"/>
    <w:rsid w:val="002F01C7"/>
    <w:rsid w:val="002F10B0"/>
    <w:rsid w:val="002F3A61"/>
    <w:rsid w:val="002F568A"/>
    <w:rsid w:val="002F5D23"/>
    <w:rsid w:val="002F7364"/>
    <w:rsid w:val="003015A5"/>
    <w:rsid w:val="00302C85"/>
    <w:rsid w:val="00306595"/>
    <w:rsid w:val="0031032A"/>
    <w:rsid w:val="003105DD"/>
    <w:rsid w:val="00310939"/>
    <w:rsid w:val="003109CC"/>
    <w:rsid w:val="0031216F"/>
    <w:rsid w:val="003152E4"/>
    <w:rsid w:val="003170CF"/>
    <w:rsid w:val="00321038"/>
    <w:rsid w:val="003212DE"/>
    <w:rsid w:val="00321704"/>
    <w:rsid w:val="00322FD1"/>
    <w:rsid w:val="0032447A"/>
    <w:rsid w:val="0032484D"/>
    <w:rsid w:val="00325BD0"/>
    <w:rsid w:val="00325F09"/>
    <w:rsid w:val="003301E1"/>
    <w:rsid w:val="003305FB"/>
    <w:rsid w:val="00331639"/>
    <w:rsid w:val="00333D5C"/>
    <w:rsid w:val="00333F9F"/>
    <w:rsid w:val="00336668"/>
    <w:rsid w:val="003405DB"/>
    <w:rsid w:val="003415D8"/>
    <w:rsid w:val="00344839"/>
    <w:rsid w:val="00344D9F"/>
    <w:rsid w:val="00345D0C"/>
    <w:rsid w:val="003511BA"/>
    <w:rsid w:val="00352BB6"/>
    <w:rsid w:val="00357BFB"/>
    <w:rsid w:val="0036279A"/>
    <w:rsid w:val="00362996"/>
    <w:rsid w:val="00362C00"/>
    <w:rsid w:val="00364EA3"/>
    <w:rsid w:val="00366563"/>
    <w:rsid w:val="00370D5F"/>
    <w:rsid w:val="003735AB"/>
    <w:rsid w:val="00373EC1"/>
    <w:rsid w:val="00375A64"/>
    <w:rsid w:val="00376E16"/>
    <w:rsid w:val="00381BB1"/>
    <w:rsid w:val="00383F3F"/>
    <w:rsid w:val="003846D1"/>
    <w:rsid w:val="003859B3"/>
    <w:rsid w:val="00385EB9"/>
    <w:rsid w:val="00386665"/>
    <w:rsid w:val="003874EE"/>
    <w:rsid w:val="00393CDD"/>
    <w:rsid w:val="00397256"/>
    <w:rsid w:val="003974DC"/>
    <w:rsid w:val="00397804"/>
    <w:rsid w:val="003A0314"/>
    <w:rsid w:val="003A1D1E"/>
    <w:rsid w:val="003A20CC"/>
    <w:rsid w:val="003A7E60"/>
    <w:rsid w:val="003B02EF"/>
    <w:rsid w:val="003B12C5"/>
    <w:rsid w:val="003B16EA"/>
    <w:rsid w:val="003B1AB7"/>
    <w:rsid w:val="003B3366"/>
    <w:rsid w:val="003B457B"/>
    <w:rsid w:val="003B6CDA"/>
    <w:rsid w:val="003C1357"/>
    <w:rsid w:val="003C1EC0"/>
    <w:rsid w:val="003C33FF"/>
    <w:rsid w:val="003C59F8"/>
    <w:rsid w:val="003D03DD"/>
    <w:rsid w:val="003D049A"/>
    <w:rsid w:val="003D1376"/>
    <w:rsid w:val="003D4DC2"/>
    <w:rsid w:val="003D6EE9"/>
    <w:rsid w:val="003D73C1"/>
    <w:rsid w:val="003E0B00"/>
    <w:rsid w:val="003E1ADA"/>
    <w:rsid w:val="003E2090"/>
    <w:rsid w:val="003E3694"/>
    <w:rsid w:val="003E680C"/>
    <w:rsid w:val="003F0A7A"/>
    <w:rsid w:val="003F0AE0"/>
    <w:rsid w:val="003F47EE"/>
    <w:rsid w:val="003F58CA"/>
    <w:rsid w:val="003F617A"/>
    <w:rsid w:val="003F6CEA"/>
    <w:rsid w:val="00402E4B"/>
    <w:rsid w:val="00403834"/>
    <w:rsid w:val="00403BEF"/>
    <w:rsid w:val="00405DF6"/>
    <w:rsid w:val="00410670"/>
    <w:rsid w:val="00412C33"/>
    <w:rsid w:val="004137A5"/>
    <w:rsid w:val="00414A65"/>
    <w:rsid w:val="00421F7F"/>
    <w:rsid w:val="00422E36"/>
    <w:rsid w:val="00423196"/>
    <w:rsid w:val="0042341C"/>
    <w:rsid w:val="004303E4"/>
    <w:rsid w:val="004318A6"/>
    <w:rsid w:val="00433076"/>
    <w:rsid w:val="0043365C"/>
    <w:rsid w:val="00434683"/>
    <w:rsid w:val="00435E67"/>
    <w:rsid w:val="004370DA"/>
    <w:rsid w:val="004414D1"/>
    <w:rsid w:val="00442FCA"/>
    <w:rsid w:val="00443AF4"/>
    <w:rsid w:val="0045099E"/>
    <w:rsid w:val="00450C7F"/>
    <w:rsid w:val="00452654"/>
    <w:rsid w:val="00455564"/>
    <w:rsid w:val="004564A5"/>
    <w:rsid w:val="00460B15"/>
    <w:rsid w:val="0046117B"/>
    <w:rsid w:val="0046244D"/>
    <w:rsid w:val="0046296E"/>
    <w:rsid w:val="004643CA"/>
    <w:rsid w:val="004673DC"/>
    <w:rsid w:val="0046771C"/>
    <w:rsid w:val="0047174C"/>
    <w:rsid w:val="004728D4"/>
    <w:rsid w:val="00472B10"/>
    <w:rsid w:val="00474E72"/>
    <w:rsid w:val="004754DA"/>
    <w:rsid w:val="00475647"/>
    <w:rsid w:val="004763AD"/>
    <w:rsid w:val="004772C4"/>
    <w:rsid w:val="00477332"/>
    <w:rsid w:val="00483992"/>
    <w:rsid w:val="00484118"/>
    <w:rsid w:val="00484845"/>
    <w:rsid w:val="004858DD"/>
    <w:rsid w:val="00486B2E"/>
    <w:rsid w:val="004927F5"/>
    <w:rsid w:val="00492D41"/>
    <w:rsid w:val="00492F70"/>
    <w:rsid w:val="004936D0"/>
    <w:rsid w:val="0049603A"/>
    <w:rsid w:val="004A1983"/>
    <w:rsid w:val="004A321A"/>
    <w:rsid w:val="004A48F3"/>
    <w:rsid w:val="004B036D"/>
    <w:rsid w:val="004B2242"/>
    <w:rsid w:val="004B7505"/>
    <w:rsid w:val="004C0F08"/>
    <w:rsid w:val="004C1EB2"/>
    <w:rsid w:val="004C2080"/>
    <w:rsid w:val="004C3646"/>
    <w:rsid w:val="004C45D6"/>
    <w:rsid w:val="004D0B78"/>
    <w:rsid w:val="004D0D8F"/>
    <w:rsid w:val="004D2113"/>
    <w:rsid w:val="004D243D"/>
    <w:rsid w:val="004D31C5"/>
    <w:rsid w:val="004D4A38"/>
    <w:rsid w:val="004D696D"/>
    <w:rsid w:val="004D6F5F"/>
    <w:rsid w:val="004E1097"/>
    <w:rsid w:val="004E1BAF"/>
    <w:rsid w:val="004E3DAA"/>
    <w:rsid w:val="004E4447"/>
    <w:rsid w:val="004E5976"/>
    <w:rsid w:val="004E5F11"/>
    <w:rsid w:val="004E72D0"/>
    <w:rsid w:val="004F413A"/>
    <w:rsid w:val="004F46DF"/>
    <w:rsid w:val="004F5C28"/>
    <w:rsid w:val="004F5D24"/>
    <w:rsid w:val="004F73C1"/>
    <w:rsid w:val="005015A3"/>
    <w:rsid w:val="00501681"/>
    <w:rsid w:val="00504CD9"/>
    <w:rsid w:val="00505A12"/>
    <w:rsid w:val="00522187"/>
    <w:rsid w:val="00522CC4"/>
    <w:rsid w:val="00524649"/>
    <w:rsid w:val="00532B32"/>
    <w:rsid w:val="00532C77"/>
    <w:rsid w:val="00532EA5"/>
    <w:rsid w:val="00541B91"/>
    <w:rsid w:val="0054211A"/>
    <w:rsid w:val="00542BCD"/>
    <w:rsid w:val="00542BEA"/>
    <w:rsid w:val="00543029"/>
    <w:rsid w:val="005430B8"/>
    <w:rsid w:val="005467BA"/>
    <w:rsid w:val="0054702A"/>
    <w:rsid w:val="00551EAC"/>
    <w:rsid w:val="0055204D"/>
    <w:rsid w:val="00552B70"/>
    <w:rsid w:val="00552F03"/>
    <w:rsid w:val="005558A5"/>
    <w:rsid w:val="005621CF"/>
    <w:rsid w:val="005664A3"/>
    <w:rsid w:val="00570B36"/>
    <w:rsid w:val="005734FC"/>
    <w:rsid w:val="00574236"/>
    <w:rsid w:val="00574A9F"/>
    <w:rsid w:val="005804E0"/>
    <w:rsid w:val="0058139B"/>
    <w:rsid w:val="0058149F"/>
    <w:rsid w:val="0058168B"/>
    <w:rsid w:val="005828D3"/>
    <w:rsid w:val="00583A40"/>
    <w:rsid w:val="005920CA"/>
    <w:rsid w:val="00595210"/>
    <w:rsid w:val="00595234"/>
    <w:rsid w:val="005958BA"/>
    <w:rsid w:val="00596622"/>
    <w:rsid w:val="0059718D"/>
    <w:rsid w:val="005975D2"/>
    <w:rsid w:val="005A0125"/>
    <w:rsid w:val="005A1465"/>
    <w:rsid w:val="005A218E"/>
    <w:rsid w:val="005B1232"/>
    <w:rsid w:val="005B220C"/>
    <w:rsid w:val="005B32A4"/>
    <w:rsid w:val="005B3400"/>
    <w:rsid w:val="005B3755"/>
    <w:rsid w:val="005B43AC"/>
    <w:rsid w:val="005B566A"/>
    <w:rsid w:val="005C4349"/>
    <w:rsid w:val="005C7D91"/>
    <w:rsid w:val="005D010D"/>
    <w:rsid w:val="005D348F"/>
    <w:rsid w:val="005D37C5"/>
    <w:rsid w:val="005D492D"/>
    <w:rsid w:val="005D4A05"/>
    <w:rsid w:val="005D5527"/>
    <w:rsid w:val="005D660F"/>
    <w:rsid w:val="005E38DD"/>
    <w:rsid w:val="005E486C"/>
    <w:rsid w:val="005E5BD4"/>
    <w:rsid w:val="005E7462"/>
    <w:rsid w:val="005F04B1"/>
    <w:rsid w:val="005F2629"/>
    <w:rsid w:val="005F3247"/>
    <w:rsid w:val="005F3BBF"/>
    <w:rsid w:val="005F4348"/>
    <w:rsid w:val="005F4C76"/>
    <w:rsid w:val="005F5FAE"/>
    <w:rsid w:val="00603142"/>
    <w:rsid w:val="00603721"/>
    <w:rsid w:val="0060466E"/>
    <w:rsid w:val="00605497"/>
    <w:rsid w:val="0060553A"/>
    <w:rsid w:val="00606A4B"/>
    <w:rsid w:val="0061024F"/>
    <w:rsid w:val="00611767"/>
    <w:rsid w:val="00611871"/>
    <w:rsid w:val="00616908"/>
    <w:rsid w:val="00616A47"/>
    <w:rsid w:val="00620461"/>
    <w:rsid w:val="006213E0"/>
    <w:rsid w:val="0062450C"/>
    <w:rsid w:val="0062754B"/>
    <w:rsid w:val="00630C72"/>
    <w:rsid w:val="006350F2"/>
    <w:rsid w:val="00635181"/>
    <w:rsid w:val="00636860"/>
    <w:rsid w:val="00636D12"/>
    <w:rsid w:val="00640485"/>
    <w:rsid w:val="00640A2E"/>
    <w:rsid w:val="00640F31"/>
    <w:rsid w:val="00641129"/>
    <w:rsid w:val="006412D9"/>
    <w:rsid w:val="00641310"/>
    <w:rsid w:val="00643E62"/>
    <w:rsid w:val="00646160"/>
    <w:rsid w:val="00647051"/>
    <w:rsid w:val="00652A0A"/>
    <w:rsid w:val="00652ACF"/>
    <w:rsid w:val="00652CE3"/>
    <w:rsid w:val="00653A7C"/>
    <w:rsid w:val="0065484F"/>
    <w:rsid w:val="0065532E"/>
    <w:rsid w:val="0065585C"/>
    <w:rsid w:val="00656690"/>
    <w:rsid w:val="00660A14"/>
    <w:rsid w:val="00660E6F"/>
    <w:rsid w:val="006650BB"/>
    <w:rsid w:val="006709CF"/>
    <w:rsid w:val="006714A3"/>
    <w:rsid w:val="00671BAE"/>
    <w:rsid w:val="006744A6"/>
    <w:rsid w:val="00680AE3"/>
    <w:rsid w:val="00680DC6"/>
    <w:rsid w:val="00681A46"/>
    <w:rsid w:val="006861D3"/>
    <w:rsid w:val="006873C3"/>
    <w:rsid w:val="00690A28"/>
    <w:rsid w:val="00693F9D"/>
    <w:rsid w:val="006A367A"/>
    <w:rsid w:val="006A41D0"/>
    <w:rsid w:val="006B4243"/>
    <w:rsid w:val="006B4500"/>
    <w:rsid w:val="006B6596"/>
    <w:rsid w:val="006B76A2"/>
    <w:rsid w:val="006B790B"/>
    <w:rsid w:val="006B7F19"/>
    <w:rsid w:val="006C2F73"/>
    <w:rsid w:val="006C5C55"/>
    <w:rsid w:val="006C647F"/>
    <w:rsid w:val="006D0DFF"/>
    <w:rsid w:val="006D1039"/>
    <w:rsid w:val="006D2906"/>
    <w:rsid w:val="006D2C8B"/>
    <w:rsid w:val="006D45A6"/>
    <w:rsid w:val="006D4A79"/>
    <w:rsid w:val="006E2017"/>
    <w:rsid w:val="006E3DC7"/>
    <w:rsid w:val="006E5CB6"/>
    <w:rsid w:val="006E68B0"/>
    <w:rsid w:val="006F12BA"/>
    <w:rsid w:val="006F15C0"/>
    <w:rsid w:val="006F20DD"/>
    <w:rsid w:val="006F3982"/>
    <w:rsid w:val="006F58E5"/>
    <w:rsid w:val="006F5FCB"/>
    <w:rsid w:val="007029FB"/>
    <w:rsid w:val="00704667"/>
    <w:rsid w:val="00704B87"/>
    <w:rsid w:val="00705C64"/>
    <w:rsid w:val="007065AA"/>
    <w:rsid w:val="00710939"/>
    <w:rsid w:val="00712581"/>
    <w:rsid w:val="00713064"/>
    <w:rsid w:val="00714412"/>
    <w:rsid w:val="00716F5C"/>
    <w:rsid w:val="00721092"/>
    <w:rsid w:val="007213AE"/>
    <w:rsid w:val="007231B6"/>
    <w:rsid w:val="007239EE"/>
    <w:rsid w:val="00723DE1"/>
    <w:rsid w:val="00731E80"/>
    <w:rsid w:val="00731EA0"/>
    <w:rsid w:val="007342F0"/>
    <w:rsid w:val="0074088F"/>
    <w:rsid w:val="00740E66"/>
    <w:rsid w:val="0074191C"/>
    <w:rsid w:val="00742026"/>
    <w:rsid w:val="007435C6"/>
    <w:rsid w:val="00751541"/>
    <w:rsid w:val="00751BBC"/>
    <w:rsid w:val="00752C72"/>
    <w:rsid w:val="00760832"/>
    <w:rsid w:val="007647DD"/>
    <w:rsid w:val="0076704C"/>
    <w:rsid w:val="007717F8"/>
    <w:rsid w:val="00772506"/>
    <w:rsid w:val="00772AED"/>
    <w:rsid w:val="00773146"/>
    <w:rsid w:val="00774C2D"/>
    <w:rsid w:val="00776A46"/>
    <w:rsid w:val="00783AB9"/>
    <w:rsid w:val="00785A2B"/>
    <w:rsid w:val="007867F9"/>
    <w:rsid w:val="00786CBD"/>
    <w:rsid w:val="00790280"/>
    <w:rsid w:val="00790720"/>
    <w:rsid w:val="00791307"/>
    <w:rsid w:val="00794A48"/>
    <w:rsid w:val="00796D9F"/>
    <w:rsid w:val="007A18D1"/>
    <w:rsid w:val="007A28FF"/>
    <w:rsid w:val="007A3659"/>
    <w:rsid w:val="007A3BF2"/>
    <w:rsid w:val="007A5CCD"/>
    <w:rsid w:val="007B023E"/>
    <w:rsid w:val="007B7384"/>
    <w:rsid w:val="007C3722"/>
    <w:rsid w:val="007C4383"/>
    <w:rsid w:val="007C448E"/>
    <w:rsid w:val="007C4756"/>
    <w:rsid w:val="007C65C4"/>
    <w:rsid w:val="007D72CC"/>
    <w:rsid w:val="007D753F"/>
    <w:rsid w:val="007E0186"/>
    <w:rsid w:val="007E05B6"/>
    <w:rsid w:val="007E0C79"/>
    <w:rsid w:val="007E15D6"/>
    <w:rsid w:val="007E3398"/>
    <w:rsid w:val="007E3A63"/>
    <w:rsid w:val="007E3D0E"/>
    <w:rsid w:val="007E3DCB"/>
    <w:rsid w:val="007E5BE3"/>
    <w:rsid w:val="007E5EAA"/>
    <w:rsid w:val="007F1E21"/>
    <w:rsid w:val="007F2D65"/>
    <w:rsid w:val="007F4B2D"/>
    <w:rsid w:val="007F647E"/>
    <w:rsid w:val="007F749A"/>
    <w:rsid w:val="007F7E52"/>
    <w:rsid w:val="008008D2"/>
    <w:rsid w:val="008013D8"/>
    <w:rsid w:val="008036BE"/>
    <w:rsid w:val="00805741"/>
    <w:rsid w:val="00812A8F"/>
    <w:rsid w:val="00812BBF"/>
    <w:rsid w:val="00813484"/>
    <w:rsid w:val="00822916"/>
    <w:rsid w:val="008235BF"/>
    <w:rsid w:val="008256B6"/>
    <w:rsid w:val="00826B4A"/>
    <w:rsid w:val="00827593"/>
    <w:rsid w:val="00827E51"/>
    <w:rsid w:val="00831F76"/>
    <w:rsid w:val="008355AD"/>
    <w:rsid w:val="008405DD"/>
    <w:rsid w:val="008428DB"/>
    <w:rsid w:val="00843539"/>
    <w:rsid w:val="008479C8"/>
    <w:rsid w:val="00847AB7"/>
    <w:rsid w:val="008506DD"/>
    <w:rsid w:val="00850B7A"/>
    <w:rsid w:val="00851BD5"/>
    <w:rsid w:val="00860723"/>
    <w:rsid w:val="008638A1"/>
    <w:rsid w:val="00863FAE"/>
    <w:rsid w:val="00865CCB"/>
    <w:rsid w:val="00867B87"/>
    <w:rsid w:val="00873BE1"/>
    <w:rsid w:val="00873EBF"/>
    <w:rsid w:val="00874BDB"/>
    <w:rsid w:val="00874CA3"/>
    <w:rsid w:val="00877615"/>
    <w:rsid w:val="0088263D"/>
    <w:rsid w:val="00882F05"/>
    <w:rsid w:val="00883426"/>
    <w:rsid w:val="0088647C"/>
    <w:rsid w:val="00886D66"/>
    <w:rsid w:val="00890903"/>
    <w:rsid w:val="00892016"/>
    <w:rsid w:val="008922B2"/>
    <w:rsid w:val="008924FB"/>
    <w:rsid w:val="00895A6F"/>
    <w:rsid w:val="00896423"/>
    <w:rsid w:val="008A0931"/>
    <w:rsid w:val="008A14A0"/>
    <w:rsid w:val="008A34E0"/>
    <w:rsid w:val="008A3A58"/>
    <w:rsid w:val="008A444D"/>
    <w:rsid w:val="008B02B5"/>
    <w:rsid w:val="008B271F"/>
    <w:rsid w:val="008B5750"/>
    <w:rsid w:val="008B6072"/>
    <w:rsid w:val="008B7F32"/>
    <w:rsid w:val="008C018D"/>
    <w:rsid w:val="008C1E25"/>
    <w:rsid w:val="008C5B8E"/>
    <w:rsid w:val="008D364A"/>
    <w:rsid w:val="008D3A34"/>
    <w:rsid w:val="008D44F9"/>
    <w:rsid w:val="008D46B2"/>
    <w:rsid w:val="008D5D38"/>
    <w:rsid w:val="008D6EB4"/>
    <w:rsid w:val="008D6F2D"/>
    <w:rsid w:val="008D7B2F"/>
    <w:rsid w:val="008E1936"/>
    <w:rsid w:val="008E20EE"/>
    <w:rsid w:val="008E74E3"/>
    <w:rsid w:val="008F4B96"/>
    <w:rsid w:val="008F66B1"/>
    <w:rsid w:val="008F7B52"/>
    <w:rsid w:val="009037B4"/>
    <w:rsid w:val="009038EF"/>
    <w:rsid w:val="0090560D"/>
    <w:rsid w:val="00905E77"/>
    <w:rsid w:val="00912BFC"/>
    <w:rsid w:val="0091396C"/>
    <w:rsid w:val="00913A68"/>
    <w:rsid w:val="00916533"/>
    <w:rsid w:val="00917BC5"/>
    <w:rsid w:val="00917BFC"/>
    <w:rsid w:val="00917C3A"/>
    <w:rsid w:val="0092016E"/>
    <w:rsid w:val="009210D8"/>
    <w:rsid w:val="009303D5"/>
    <w:rsid w:val="009310BD"/>
    <w:rsid w:val="00931134"/>
    <w:rsid w:val="00933968"/>
    <w:rsid w:val="009353F2"/>
    <w:rsid w:val="009447C8"/>
    <w:rsid w:val="009448DB"/>
    <w:rsid w:val="00947A25"/>
    <w:rsid w:val="0095093F"/>
    <w:rsid w:val="00951A85"/>
    <w:rsid w:val="00957280"/>
    <w:rsid w:val="00962FC3"/>
    <w:rsid w:val="00965955"/>
    <w:rsid w:val="009659AF"/>
    <w:rsid w:val="00966B88"/>
    <w:rsid w:val="00967E3F"/>
    <w:rsid w:val="00971D35"/>
    <w:rsid w:val="0097724F"/>
    <w:rsid w:val="00980A68"/>
    <w:rsid w:val="00982386"/>
    <w:rsid w:val="00983206"/>
    <w:rsid w:val="009836F1"/>
    <w:rsid w:val="00986D6C"/>
    <w:rsid w:val="009906EE"/>
    <w:rsid w:val="009914C6"/>
    <w:rsid w:val="0099351B"/>
    <w:rsid w:val="00994E80"/>
    <w:rsid w:val="009959B2"/>
    <w:rsid w:val="00996240"/>
    <w:rsid w:val="00996C1C"/>
    <w:rsid w:val="00997296"/>
    <w:rsid w:val="00997E3A"/>
    <w:rsid w:val="009A0B19"/>
    <w:rsid w:val="009B188A"/>
    <w:rsid w:val="009B3ECC"/>
    <w:rsid w:val="009B5913"/>
    <w:rsid w:val="009C07F5"/>
    <w:rsid w:val="009C0A14"/>
    <w:rsid w:val="009C3C43"/>
    <w:rsid w:val="009C4D9D"/>
    <w:rsid w:val="009D0347"/>
    <w:rsid w:val="009D1112"/>
    <w:rsid w:val="009D532B"/>
    <w:rsid w:val="009D579B"/>
    <w:rsid w:val="009D63A6"/>
    <w:rsid w:val="009D6FF4"/>
    <w:rsid w:val="009E2B1E"/>
    <w:rsid w:val="009E7F4A"/>
    <w:rsid w:val="009F026E"/>
    <w:rsid w:val="009F206A"/>
    <w:rsid w:val="009F4A1F"/>
    <w:rsid w:val="009F6E3A"/>
    <w:rsid w:val="009F724E"/>
    <w:rsid w:val="00A02426"/>
    <w:rsid w:val="00A03E36"/>
    <w:rsid w:val="00A04ED4"/>
    <w:rsid w:val="00A05766"/>
    <w:rsid w:val="00A06BC9"/>
    <w:rsid w:val="00A079DE"/>
    <w:rsid w:val="00A105B8"/>
    <w:rsid w:val="00A10DB4"/>
    <w:rsid w:val="00A11CAB"/>
    <w:rsid w:val="00A1506E"/>
    <w:rsid w:val="00A1604E"/>
    <w:rsid w:val="00A161A9"/>
    <w:rsid w:val="00A16A8A"/>
    <w:rsid w:val="00A2129C"/>
    <w:rsid w:val="00A219F0"/>
    <w:rsid w:val="00A21A28"/>
    <w:rsid w:val="00A21A82"/>
    <w:rsid w:val="00A227ED"/>
    <w:rsid w:val="00A23539"/>
    <w:rsid w:val="00A272D8"/>
    <w:rsid w:val="00A341C5"/>
    <w:rsid w:val="00A3442F"/>
    <w:rsid w:val="00A34C25"/>
    <w:rsid w:val="00A36BD5"/>
    <w:rsid w:val="00A4076A"/>
    <w:rsid w:val="00A40D97"/>
    <w:rsid w:val="00A41D12"/>
    <w:rsid w:val="00A4363D"/>
    <w:rsid w:val="00A43F92"/>
    <w:rsid w:val="00A45464"/>
    <w:rsid w:val="00A47E85"/>
    <w:rsid w:val="00A52CF3"/>
    <w:rsid w:val="00A53350"/>
    <w:rsid w:val="00A53B00"/>
    <w:rsid w:val="00A559D0"/>
    <w:rsid w:val="00A5688D"/>
    <w:rsid w:val="00A61AEA"/>
    <w:rsid w:val="00A621AB"/>
    <w:rsid w:val="00A62B9A"/>
    <w:rsid w:val="00A6303F"/>
    <w:rsid w:val="00A647C5"/>
    <w:rsid w:val="00A648C0"/>
    <w:rsid w:val="00A651F6"/>
    <w:rsid w:val="00A667DE"/>
    <w:rsid w:val="00A72EBF"/>
    <w:rsid w:val="00A772E7"/>
    <w:rsid w:val="00A77CF7"/>
    <w:rsid w:val="00A831BD"/>
    <w:rsid w:val="00A849E3"/>
    <w:rsid w:val="00A863F9"/>
    <w:rsid w:val="00A912E3"/>
    <w:rsid w:val="00A93FF4"/>
    <w:rsid w:val="00A95F1C"/>
    <w:rsid w:val="00A96672"/>
    <w:rsid w:val="00A96C86"/>
    <w:rsid w:val="00AA17A1"/>
    <w:rsid w:val="00AA2BDC"/>
    <w:rsid w:val="00AA4892"/>
    <w:rsid w:val="00AB115D"/>
    <w:rsid w:val="00AB3E3F"/>
    <w:rsid w:val="00AB49BE"/>
    <w:rsid w:val="00AB59BD"/>
    <w:rsid w:val="00AB6774"/>
    <w:rsid w:val="00AB6E4A"/>
    <w:rsid w:val="00AB7064"/>
    <w:rsid w:val="00AC09E6"/>
    <w:rsid w:val="00AC2761"/>
    <w:rsid w:val="00AC5230"/>
    <w:rsid w:val="00AC52C7"/>
    <w:rsid w:val="00AC698F"/>
    <w:rsid w:val="00AD03E5"/>
    <w:rsid w:val="00AD0D57"/>
    <w:rsid w:val="00AD11E8"/>
    <w:rsid w:val="00AD2A5D"/>
    <w:rsid w:val="00AD34F9"/>
    <w:rsid w:val="00AD3F0A"/>
    <w:rsid w:val="00AE0AF5"/>
    <w:rsid w:val="00AE15F1"/>
    <w:rsid w:val="00AE1782"/>
    <w:rsid w:val="00AE3BD7"/>
    <w:rsid w:val="00AE610D"/>
    <w:rsid w:val="00AE642C"/>
    <w:rsid w:val="00AE7C07"/>
    <w:rsid w:val="00AF5962"/>
    <w:rsid w:val="00AF6FA4"/>
    <w:rsid w:val="00B02744"/>
    <w:rsid w:val="00B037AD"/>
    <w:rsid w:val="00B047CE"/>
    <w:rsid w:val="00B11477"/>
    <w:rsid w:val="00B174E9"/>
    <w:rsid w:val="00B30307"/>
    <w:rsid w:val="00B323A3"/>
    <w:rsid w:val="00B33EF7"/>
    <w:rsid w:val="00B37446"/>
    <w:rsid w:val="00B37FDD"/>
    <w:rsid w:val="00B42579"/>
    <w:rsid w:val="00B42FD9"/>
    <w:rsid w:val="00B44765"/>
    <w:rsid w:val="00B45923"/>
    <w:rsid w:val="00B45ECE"/>
    <w:rsid w:val="00B46E78"/>
    <w:rsid w:val="00B472DA"/>
    <w:rsid w:val="00B51693"/>
    <w:rsid w:val="00B527F0"/>
    <w:rsid w:val="00B5594F"/>
    <w:rsid w:val="00B56367"/>
    <w:rsid w:val="00B57559"/>
    <w:rsid w:val="00B57ABF"/>
    <w:rsid w:val="00B6076E"/>
    <w:rsid w:val="00B6153F"/>
    <w:rsid w:val="00B6347A"/>
    <w:rsid w:val="00B64146"/>
    <w:rsid w:val="00B70033"/>
    <w:rsid w:val="00B75EEA"/>
    <w:rsid w:val="00B77A73"/>
    <w:rsid w:val="00B8006C"/>
    <w:rsid w:val="00B803AD"/>
    <w:rsid w:val="00B814B8"/>
    <w:rsid w:val="00B81D16"/>
    <w:rsid w:val="00B81E0B"/>
    <w:rsid w:val="00B835D2"/>
    <w:rsid w:val="00B85544"/>
    <w:rsid w:val="00B90128"/>
    <w:rsid w:val="00B90EE0"/>
    <w:rsid w:val="00B93342"/>
    <w:rsid w:val="00B93458"/>
    <w:rsid w:val="00B93B78"/>
    <w:rsid w:val="00B964CD"/>
    <w:rsid w:val="00B967CA"/>
    <w:rsid w:val="00BA16E1"/>
    <w:rsid w:val="00BA1BBA"/>
    <w:rsid w:val="00BA7017"/>
    <w:rsid w:val="00BA7BAA"/>
    <w:rsid w:val="00BB642C"/>
    <w:rsid w:val="00BC0FFA"/>
    <w:rsid w:val="00BC3ECE"/>
    <w:rsid w:val="00BC45CB"/>
    <w:rsid w:val="00BC4FA0"/>
    <w:rsid w:val="00BC7103"/>
    <w:rsid w:val="00BC7388"/>
    <w:rsid w:val="00BD2262"/>
    <w:rsid w:val="00BD3E0A"/>
    <w:rsid w:val="00BE0C51"/>
    <w:rsid w:val="00BE3484"/>
    <w:rsid w:val="00BE4049"/>
    <w:rsid w:val="00BE73FE"/>
    <w:rsid w:val="00BE7716"/>
    <w:rsid w:val="00BE7A55"/>
    <w:rsid w:val="00BF0BE2"/>
    <w:rsid w:val="00BF156A"/>
    <w:rsid w:val="00BF19A3"/>
    <w:rsid w:val="00BF3D25"/>
    <w:rsid w:val="00BF5141"/>
    <w:rsid w:val="00BF670C"/>
    <w:rsid w:val="00C008DB"/>
    <w:rsid w:val="00C01B74"/>
    <w:rsid w:val="00C04863"/>
    <w:rsid w:val="00C04B99"/>
    <w:rsid w:val="00C07D42"/>
    <w:rsid w:val="00C07EF9"/>
    <w:rsid w:val="00C10ED9"/>
    <w:rsid w:val="00C1319A"/>
    <w:rsid w:val="00C14832"/>
    <w:rsid w:val="00C15688"/>
    <w:rsid w:val="00C22BF2"/>
    <w:rsid w:val="00C254DD"/>
    <w:rsid w:val="00C27184"/>
    <w:rsid w:val="00C2721A"/>
    <w:rsid w:val="00C304F8"/>
    <w:rsid w:val="00C32523"/>
    <w:rsid w:val="00C3468B"/>
    <w:rsid w:val="00C348D6"/>
    <w:rsid w:val="00C34E11"/>
    <w:rsid w:val="00C3732F"/>
    <w:rsid w:val="00C37BF2"/>
    <w:rsid w:val="00C41478"/>
    <w:rsid w:val="00C456A4"/>
    <w:rsid w:val="00C466B0"/>
    <w:rsid w:val="00C4756D"/>
    <w:rsid w:val="00C51545"/>
    <w:rsid w:val="00C53E3E"/>
    <w:rsid w:val="00C5518F"/>
    <w:rsid w:val="00C65D67"/>
    <w:rsid w:val="00C6669B"/>
    <w:rsid w:val="00C70562"/>
    <w:rsid w:val="00C809B6"/>
    <w:rsid w:val="00C82E30"/>
    <w:rsid w:val="00C8474B"/>
    <w:rsid w:val="00C87C7E"/>
    <w:rsid w:val="00C87E13"/>
    <w:rsid w:val="00C90011"/>
    <w:rsid w:val="00C916C1"/>
    <w:rsid w:val="00C91C07"/>
    <w:rsid w:val="00C97F88"/>
    <w:rsid w:val="00CA0607"/>
    <w:rsid w:val="00CA353A"/>
    <w:rsid w:val="00CA5FDD"/>
    <w:rsid w:val="00CA6518"/>
    <w:rsid w:val="00CA738F"/>
    <w:rsid w:val="00CB267F"/>
    <w:rsid w:val="00CB5F79"/>
    <w:rsid w:val="00CC2470"/>
    <w:rsid w:val="00CC2AB1"/>
    <w:rsid w:val="00CC4545"/>
    <w:rsid w:val="00CC5BC4"/>
    <w:rsid w:val="00CD2221"/>
    <w:rsid w:val="00CD55BD"/>
    <w:rsid w:val="00CD607B"/>
    <w:rsid w:val="00CD64B5"/>
    <w:rsid w:val="00CD7D9B"/>
    <w:rsid w:val="00CE1105"/>
    <w:rsid w:val="00CE1A95"/>
    <w:rsid w:val="00CE2CCE"/>
    <w:rsid w:val="00CE3118"/>
    <w:rsid w:val="00CE3419"/>
    <w:rsid w:val="00CF1193"/>
    <w:rsid w:val="00CF3E5C"/>
    <w:rsid w:val="00CF5710"/>
    <w:rsid w:val="00CF5DC8"/>
    <w:rsid w:val="00CF7097"/>
    <w:rsid w:val="00D00402"/>
    <w:rsid w:val="00D02E8D"/>
    <w:rsid w:val="00D02FB9"/>
    <w:rsid w:val="00D04294"/>
    <w:rsid w:val="00D048B9"/>
    <w:rsid w:val="00D07C7C"/>
    <w:rsid w:val="00D07D4D"/>
    <w:rsid w:val="00D1010F"/>
    <w:rsid w:val="00D10277"/>
    <w:rsid w:val="00D128BB"/>
    <w:rsid w:val="00D1307F"/>
    <w:rsid w:val="00D1529B"/>
    <w:rsid w:val="00D156AB"/>
    <w:rsid w:val="00D1698E"/>
    <w:rsid w:val="00D2003A"/>
    <w:rsid w:val="00D2260F"/>
    <w:rsid w:val="00D23225"/>
    <w:rsid w:val="00D23C6C"/>
    <w:rsid w:val="00D249A1"/>
    <w:rsid w:val="00D27241"/>
    <w:rsid w:val="00D300BB"/>
    <w:rsid w:val="00D317BD"/>
    <w:rsid w:val="00D31B4B"/>
    <w:rsid w:val="00D34223"/>
    <w:rsid w:val="00D36AA5"/>
    <w:rsid w:val="00D43959"/>
    <w:rsid w:val="00D51E27"/>
    <w:rsid w:val="00D5206F"/>
    <w:rsid w:val="00D602C2"/>
    <w:rsid w:val="00D62B56"/>
    <w:rsid w:val="00D677A7"/>
    <w:rsid w:val="00D67905"/>
    <w:rsid w:val="00D7052A"/>
    <w:rsid w:val="00D71792"/>
    <w:rsid w:val="00D73ECD"/>
    <w:rsid w:val="00D75A64"/>
    <w:rsid w:val="00D7657C"/>
    <w:rsid w:val="00D77A9C"/>
    <w:rsid w:val="00D77AB1"/>
    <w:rsid w:val="00D77B2C"/>
    <w:rsid w:val="00D77EE2"/>
    <w:rsid w:val="00D83816"/>
    <w:rsid w:val="00D85EC2"/>
    <w:rsid w:val="00D90F36"/>
    <w:rsid w:val="00D931AA"/>
    <w:rsid w:val="00D95164"/>
    <w:rsid w:val="00D95FCA"/>
    <w:rsid w:val="00D960AE"/>
    <w:rsid w:val="00D9646A"/>
    <w:rsid w:val="00DA00F3"/>
    <w:rsid w:val="00DA1002"/>
    <w:rsid w:val="00DA15B0"/>
    <w:rsid w:val="00DA1F12"/>
    <w:rsid w:val="00DA47DE"/>
    <w:rsid w:val="00DA6632"/>
    <w:rsid w:val="00DA694A"/>
    <w:rsid w:val="00DA7510"/>
    <w:rsid w:val="00DB1283"/>
    <w:rsid w:val="00DB1C79"/>
    <w:rsid w:val="00DB3FAB"/>
    <w:rsid w:val="00DB5CD1"/>
    <w:rsid w:val="00DB636A"/>
    <w:rsid w:val="00DB7288"/>
    <w:rsid w:val="00DB7482"/>
    <w:rsid w:val="00DC321D"/>
    <w:rsid w:val="00DC3787"/>
    <w:rsid w:val="00DC5A8D"/>
    <w:rsid w:val="00DD13B6"/>
    <w:rsid w:val="00DD59B3"/>
    <w:rsid w:val="00DD7ECC"/>
    <w:rsid w:val="00DE1A01"/>
    <w:rsid w:val="00DE4CDF"/>
    <w:rsid w:val="00DF11DA"/>
    <w:rsid w:val="00DF357A"/>
    <w:rsid w:val="00DF476B"/>
    <w:rsid w:val="00DF7B50"/>
    <w:rsid w:val="00E01C4D"/>
    <w:rsid w:val="00E02379"/>
    <w:rsid w:val="00E02771"/>
    <w:rsid w:val="00E04AF5"/>
    <w:rsid w:val="00E05342"/>
    <w:rsid w:val="00E05FF9"/>
    <w:rsid w:val="00E071F5"/>
    <w:rsid w:val="00E07DB4"/>
    <w:rsid w:val="00E13C3F"/>
    <w:rsid w:val="00E1452D"/>
    <w:rsid w:val="00E14DCD"/>
    <w:rsid w:val="00E15033"/>
    <w:rsid w:val="00E1699A"/>
    <w:rsid w:val="00E20128"/>
    <w:rsid w:val="00E21F25"/>
    <w:rsid w:val="00E24198"/>
    <w:rsid w:val="00E2671D"/>
    <w:rsid w:val="00E2791E"/>
    <w:rsid w:val="00E31270"/>
    <w:rsid w:val="00E31560"/>
    <w:rsid w:val="00E345B0"/>
    <w:rsid w:val="00E37496"/>
    <w:rsid w:val="00E4119D"/>
    <w:rsid w:val="00E43CDD"/>
    <w:rsid w:val="00E44AD6"/>
    <w:rsid w:val="00E45064"/>
    <w:rsid w:val="00E461AE"/>
    <w:rsid w:val="00E5617C"/>
    <w:rsid w:val="00E60728"/>
    <w:rsid w:val="00E60DC8"/>
    <w:rsid w:val="00E64B53"/>
    <w:rsid w:val="00E65206"/>
    <w:rsid w:val="00E66BA5"/>
    <w:rsid w:val="00E70679"/>
    <w:rsid w:val="00E719A0"/>
    <w:rsid w:val="00E71B53"/>
    <w:rsid w:val="00E748A3"/>
    <w:rsid w:val="00E83B2B"/>
    <w:rsid w:val="00E85156"/>
    <w:rsid w:val="00E91FB7"/>
    <w:rsid w:val="00E940C5"/>
    <w:rsid w:val="00E9521C"/>
    <w:rsid w:val="00E95CB4"/>
    <w:rsid w:val="00EA01E7"/>
    <w:rsid w:val="00EA6836"/>
    <w:rsid w:val="00EB2DF5"/>
    <w:rsid w:val="00EB3606"/>
    <w:rsid w:val="00EB6014"/>
    <w:rsid w:val="00EB6B57"/>
    <w:rsid w:val="00EC3753"/>
    <w:rsid w:val="00EC6B8B"/>
    <w:rsid w:val="00EC6EC8"/>
    <w:rsid w:val="00EC739F"/>
    <w:rsid w:val="00ED13EF"/>
    <w:rsid w:val="00ED5AF5"/>
    <w:rsid w:val="00ED70C5"/>
    <w:rsid w:val="00ED7ACB"/>
    <w:rsid w:val="00ED7D06"/>
    <w:rsid w:val="00EE21AC"/>
    <w:rsid w:val="00EE272D"/>
    <w:rsid w:val="00EE4888"/>
    <w:rsid w:val="00EE672A"/>
    <w:rsid w:val="00EF0E28"/>
    <w:rsid w:val="00EF118B"/>
    <w:rsid w:val="00EF1852"/>
    <w:rsid w:val="00EF25C1"/>
    <w:rsid w:val="00EF4F37"/>
    <w:rsid w:val="00EF528B"/>
    <w:rsid w:val="00EF76BB"/>
    <w:rsid w:val="00F0263D"/>
    <w:rsid w:val="00F02B43"/>
    <w:rsid w:val="00F03201"/>
    <w:rsid w:val="00F0365C"/>
    <w:rsid w:val="00F04486"/>
    <w:rsid w:val="00F1137A"/>
    <w:rsid w:val="00F123A7"/>
    <w:rsid w:val="00F1372D"/>
    <w:rsid w:val="00F14A48"/>
    <w:rsid w:val="00F205D7"/>
    <w:rsid w:val="00F24C28"/>
    <w:rsid w:val="00F26F4E"/>
    <w:rsid w:val="00F30A59"/>
    <w:rsid w:val="00F37465"/>
    <w:rsid w:val="00F4417E"/>
    <w:rsid w:val="00F45B91"/>
    <w:rsid w:val="00F46BD2"/>
    <w:rsid w:val="00F46D0E"/>
    <w:rsid w:val="00F50DEB"/>
    <w:rsid w:val="00F560BC"/>
    <w:rsid w:val="00F560D8"/>
    <w:rsid w:val="00F56618"/>
    <w:rsid w:val="00F56653"/>
    <w:rsid w:val="00F57946"/>
    <w:rsid w:val="00F606C9"/>
    <w:rsid w:val="00F61F79"/>
    <w:rsid w:val="00F64967"/>
    <w:rsid w:val="00F64D2E"/>
    <w:rsid w:val="00F6629B"/>
    <w:rsid w:val="00F70D73"/>
    <w:rsid w:val="00F71A50"/>
    <w:rsid w:val="00F73790"/>
    <w:rsid w:val="00F73813"/>
    <w:rsid w:val="00F74993"/>
    <w:rsid w:val="00F758C8"/>
    <w:rsid w:val="00F7701E"/>
    <w:rsid w:val="00F77846"/>
    <w:rsid w:val="00F807A6"/>
    <w:rsid w:val="00F8497C"/>
    <w:rsid w:val="00F84FB5"/>
    <w:rsid w:val="00F85475"/>
    <w:rsid w:val="00F85A73"/>
    <w:rsid w:val="00F86EC1"/>
    <w:rsid w:val="00F87685"/>
    <w:rsid w:val="00F905CC"/>
    <w:rsid w:val="00F908FC"/>
    <w:rsid w:val="00F90BAF"/>
    <w:rsid w:val="00F9102B"/>
    <w:rsid w:val="00F912FC"/>
    <w:rsid w:val="00F92377"/>
    <w:rsid w:val="00F927A2"/>
    <w:rsid w:val="00F9281F"/>
    <w:rsid w:val="00F94D38"/>
    <w:rsid w:val="00F94DCA"/>
    <w:rsid w:val="00F9649E"/>
    <w:rsid w:val="00FA05BC"/>
    <w:rsid w:val="00FA3DBC"/>
    <w:rsid w:val="00FA6CE5"/>
    <w:rsid w:val="00FA782C"/>
    <w:rsid w:val="00FA7C37"/>
    <w:rsid w:val="00FB5021"/>
    <w:rsid w:val="00FB6FE4"/>
    <w:rsid w:val="00FC0FD3"/>
    <w:rsid w:val="00FC5087"/>
    <w:rsid w:val="00FC53AC"/>
    <w:rsid w:val="00FC55F7"/>
    <w:rsid w:val="00FC638C"/>
    <w:rsid w:val="00FE04FC"/>
    <w:rsid w:val="00FE0A40"/>
    <w:rsid w:val="00FE2683"/>
    <w:rsid w:val="00FE616D"/>
    <w:rsid w:val="00FF1463"/>
    <w:rsid w:val="00FF1C62"/>
    <w:rsid w:val="00FF74C2"/>
    <w:rsid w:val="00FF7943"/>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1B351A3-9861-4009-BDA4-25BCCFBB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76A"/>
    <w:pPr>
      <w:bidi/>
      <w:spacing w:after="0" w:line="240" w:lineRule="auto"/>
    </w:pPr>
    <w:rPr>
      <w:rFonts w:ascii="Times New Roman" w:eastAsia="Times New Roman" w:hAnsi="Times New Roman" w:cs="Times New Roman"/>
      <w:sz w:val="24"/>
      <w:szCs w:val="24"/>
    </w:rPr>
  </w:style>
  <w:style w:type="paragraph" w:styleId="Heading1">
    <w:name w:val="heading 1"/>
    <w:basedOn w:val="a0"/>
    <w:next w:val="Normal"/>
    <w:link w:val="Heading1Char"/>
    <w:uiPriority w:val="9"/>
    <w:qFormat/>
    <w:rsid w:val="004C2080"/>
    <w:pPr>
      <w:spacing w:after="60"/>
      <w:outlineLvl w:val="0"/>
    </w:pPr>
    <w:rPr>
      <w:rFonts w:cstheme="minorHAnsi"/>
      <w:b/>
      <w:bCs/>
      <w:caps/>
    </w:rPr>
  </w:style>
  <w:style w:type="paragraph" w:styleId="Heading2">
    <w:name w:val="heading 2"/>
    <w:basedOn w:val="Body"/>
    <w:next w:val="Normal"/>
    <w:link w:val="Heading2Char"/>
    <w:uiPriority w:val="9"/>
    <w:unhideWhenUsed/>
    <w:qFormat/>
    <w:rsid w:val="004E3DAA"/>
    <w:pPr>
      <w:spacing w:after="0" w:line="240" w:lineRule="auto"/>
      <w:jc w:val="both"/>
      <w:outlineLvl w:val="1"/>
    </w:pPr>
    <w:rPr>
      <w:rFonts w:asciiTheme="minorHAnsi" w:eastAsia="Cambria" w:hAnsiTheme="minorHAnsi" w:cstheme="minorHAnsi"/>
      <w:b/>
      <w:bCs/>
      <w:color w:val="auto"/>
      <w:lang w:val="fr-FR"/>
    </w:rPr>
  </w:style>
  <w:style w:type="paragraph" w:styleId="Heading3">
    <w:name w:val="heading 3"/>
    <w:basedOn w:val="a1"/>
    <w:next w:val="Normal"/>
    <w:link w:val="Heading3Char"/>
    <w:uiPriority w:val="9"/>
    <w:unhideWhenUsed/>
    <w:qFormat/>
    <w:rsid w:val="00E24198"/>
    <w:pPr>
      <w:outlineLvl w:val="2"/>
    </w:pPr>
  </w:style>
  <w:style w:type="paragraph" w:styleId="Heading4">
    <w:name w:val="heading 4"/>
    <w:basedOn w:val="Normal"/>
    <w:next w:val="Normal"/>
    <w:link w:val="Heading4Char"/>
    <w:uiPriority w:val="9"/>
    <w:unhideWhenUsed/>
    <w:qFormat/>
    <w:rsid w:val="00393CDD"/>
    <w:pPr>
      <w:autoSpaceDE w:val="0"/>
      <w:autoSpaceDN w:val="0"/>
      <w:bidi w:val="0"/>
      <w:adjustRightInd w:val="0"/>
      <w:ind w:right="-22"/>
      <w:jc w:val="lowKashida"/>
      <w:outlineLvl w:val="3"/>
    </w:pPr>
    <w:rPr>
      <w:rFonts w:asciiTheme="minorHAnsi" w:hAnsiTheme="minorHAnsi"/>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DA"/>
    <w:pPr>
      <w:tabs>
        <w:tab w:val="center" w:pos="4680"/>
        <w:tab w:val="right" w:pos="9360"/>
      </w:tabs>
      <w:bidi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E1ADA"/>
  </w:style>
  <w:style w:type="paragraph" w:styleId="Footer">
    <w:name w:val="footer"/>
    <w:basedOn w:val="Normal"/>
    <w:link w:val="FooterChar"/>
    <w:uiPriority w:val="99"/>
    <w:unhideWhenUsed/>
    <w:rsid w:val="003E1ADA"/>
    <w:pPr>
      <w:tabs>
        <w:tab w:val="center" w:pos="4680"/>
        <w:tab w:val="right" w:pos="9360"/>
      </w:tabs>
      <w:bidi w:val="0"/>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1ADA"/>
  </w:style>
  <w:style w:type="character" w:styleId="PageNumber">
    <w:name w:val="page number"/>
    <w:basedOn w:val="DefaultParagraphFont"/>
    <w:uiPriority w:val="99"/>
    <w:rsid w:val="003E1ADA"/>
    <w:rPr>
      <w:rFonts w:cs="Times New Roman"/>
    </w:rPr>
  </w:style>
  <w:style w:type="paragraph" w:customStyle="1" w:styleId="a2">
    <w:name w:val="ع"/>
    <w:basedOn w:val="Normal"/>
    <w:link w:val="Char"/>
    <w:rsid w:val="00A4076A"/>
    <w:pPr>
      <w:bidi w:val="0"/>
      <w:spacing w:after="360"/>
      <w:jc w:val="center"/>
    </w:pPr>
    <w:rPr>
      <w:b/>
      <w:bCs/>
      <w:sz w:val="32"/>
      <w:szCs w:val="32"/>
      <w:lang w:bidi="fa-IR"/>
    </w:rPr>
  </w:style>
  <w:style w:type="character" w:customStyle="1" w:styleId="Char">
    <w:name w:val="ع Char"/>
    <w:basedOn w:val="DefaultParagraphFont"/>
    <w:link w:val="a2"/>
    <w:rsid w:val="00A4076A"/>
    <w:rPr>
      <w:rFonts w:ascii="Times New Roman" w:eastAsia="Times New Roman" w:hAnsi="Times New Roman" w:cs="Times New Roman"/>
      <w:b/>
      <w:bCs/>
      <w:sz w:val="32"/>
      <w:szCs w:val="32"/>
      <w:lang w:bidi="fa-IR"/>
    </w:rPr>
  </w:style>
  <w:style w:type="paragraph" w:customStyle="1" w:styleId="1">
    <w:name w:val="1"/>
    <w:basedOn w:val="Normal"/>
    <w:link w:val="1Char"/>
    <w:rsid w:val="00A4076A"/>
    <w:pPr>
      <w:bidi w:val="0"/>
      <w:spacing w:after="120"/>
      <w:jc w:val="both"/>
    </w:pPr>
    <w:rPr>
      <w:b/>
      <w:sz w:val="20"/>
      <w:szCs w:val="20"/>
      <w:lang w:bidi="fa-IR"/>
    </w:rPr>
  </w:style>
  <w:style w:type="character" w:customStyle="1" w:styleId="1Char">
    <w:name w:val="1 Char"/>
    <w:basedOn w:val="DefaultParagraphFont"/>
    <w:link w:val="1"/>
    <w:rsid w:val="00A4076A"/>
    <w:rPr>
      <w:rFonts w:ascii="Times New Roman" w:eastAsia="Times New Roman" w:hAnsi="Times New Roman" w:cs="Times New Roman"/>
      <w:b/>
      <w:sz w:val="20"/>
      <w:szCs w:val="20"/>
      <w:lang w:bidi="fa-IR"/>
    </w:rPr>
  </w:style>
  <w:style w:type="paragraph" w:customStyle="1" w:styleId="a3">
    <w:name w:val="عض"/>
    <w:basedOn w:val="Normal"/>
    <w:link w:val="Char0"/>
    <w:rsid w:val="00A4076A"/>
    <w:pPr>
      <w:bidi w:val="0"/>
      <w:jc w:val="both"/>
    </w:pPr>
    <w:rPr>
      <w:bCs/>
      <w:sz w:val="20"/>
      <w:szCs w:val="20"/>
      <w:lang w:bidi="fa-IR"/>
    </w:rPr>
  </w:style>
  <w:style w:type="character" w:customStyle="1" w:styleId="Char0">
    <w:name w:val="عض Char"/>
    <w:basedOn w:val="DefaultParagraphFont"/>
    <w:link w:val="a3"/>
    <w:rsid w:val="00A4076A"/>
    <w:rPr>
      <w:rFonts w:ascii="Times New Roman" w:eastAsia="Times New Roman" w:hAnsi="Times New Roman" w:cs="Times New Roman"/>
      <w:bCs/>
      <w:sz w:val="20"/>
      <w:szCs w:val="20"/>
      <w:lang w:bidi="fa-IR"/>
    </w:rPr>
  </w:style>
  <w:style w:type="character" w:styleId="Hyperlink">
    <w:name w:val="Hyperlink"/>
    <w:basedOn w:val="DefaultParagraphFont"/>
    <w:uiPriority w:val="99"/>
    <w:rsid w:val="00A4076A"/>
    <w:rPr>
      <w:rFonts w:cs="Times New Roman"/>
      <w:color w:val="003399"/>
      <w:u w:val="none"/>
      <w:effect w:val="none"/>
    </w:rPr>
  </w:style>
  <w:style w:type="paragraph" w:customStyle="1" w:styleId="a4">
    <w:name w:val="متن"/>
    <w:basedOn w:val="Normal"/>
    <w:link w:val="Char1"/>
    <w:rsid w:val="00A4076A"/>
    <w:pPr>
      <w:bidi w:val="0"/>
      <w:jc w:val="both"/>
    </w:pPr>
    <w:rPr>
      <w:lang w:bidi="fa-IR"/>
    </w:rPr>
  </w:style>
  <w:style w:type="character" w:customStyle="1" w:styleId="Char1">
    <w:name w:val="متن Char"/>
    <w:basedOn w:val="DefaultParagraphFont"/>
    <w:link w:val="a4"/>
    <w:rsid w:val="00A4076A"/>
    <w:rPr>
      <w:rFonts w:ascii="Times New Roman" w:eastAsia="Times New Roman" w:hAnsi="Times New Roman" w:cs="Times New Roman"/>
      <w:sz w:val="24"/>
      <w:szCs w:val="24"/>
      <w:lang w:bidi="fa-IR"/>
    </w:rPr>
  </w:style>
  <w:style w:type="paragraph" w:customStyle="1" w:styleId="a5">
    <w:name w:val="دانشگاه"/>
    <w:basedOn w:val="Normal"/>
    <w:link w:val="Char2"/>
    <w:uiPriority w:val="99"/>
    <w:rsid w:val="00A4076A"/>
    <w:pPr>
      <w:bidi w:val="0"/>
      <w:spacing w:after="120"/>
      <w:contextualSpacing/>
      <w:jc w:val="both"/>
    </w:pPr>
    <w:rPr>
      <w:szCs w:val="20"/>
    </w:rPr>
  </w:style>
  <w:style w:type="character" w:customStyle="1" w:styleId="Char2">
    <w:name w:val="دانشگاه Char"/>
    <w:basedOn w:val="DefaultParagraphFont"/>
    <w:link w:val="a5"/>
    <w:uiPriority w:val="99"/>
    <w:locked/>
    <w:rsid w:val="00A4076A"/>
    <w:rPr>
      <w:rFonts w:ascii="Times New Roman" w:eastAsia="Times New Roman" w:hAnsi="Times New Roman" w:cs="Times New Roman"/>
      <w:sz w:val="24"/>
      <w:szCs w:val="20"/>
    </w:rPr>
  </w:style>
  <w:style w:type="character" w:styleId="Strong">
    <w:name w:val="Strong"/>
    <w:basedOn w:val="DefaultParagraphFont"/>
    <w:qFormat/>
    <w:rsid w:val="00EF0E28"/>
    <w:rPr>
      <w:rFonts w:cs="Times New Roman"/>
      <w:b/>
      <w:bCs/>
    </w:rPr>
  </w:style>
  <w:style w:type="character" w:styleId="Emphasis">
    <w:name w:val="Emphasis"/>
    <w:basedOn w:val="DefaultParagraphFont"/>
    <w:uiPriority w:val="20"/>
    <w:qFormat/>
    <w:rsid w:val="00EF0E28"/>
    <w:rPr>
      <w:rFonts w:cs="Times New Roman"/>
      <w:i/>
      <w:iCs/>
    </w:rPr>
  </w:style>
  <w:style w:type="character" w:customStyle="1" w:styleId="jrnl">
    <w:name w:val="jrnl"/>
    <w:basedOn w:val="DefaultParagraphFont"/>
    <w:rsid w:val="00EF0E28"/>
    <w:rPr>
      <w:rFonts w:cs="Times New Roman"/>
    </w:rPr>
  </w:style>
  <w:style w:type="paragraph" w:customStyle="1" w:styleId="a">
    <w:name w:val="رفرانس"/>
    <w:basedOn w:val="Normal"/>
    <w:link w:val="Char3"/>
    <w:rsid w:val="00EF0E28"/>
    <w:pPr>
      <w:numPr>
        <w:numId w:val="1"/>
      </w:numPr>
      <w:autoSpaceDE w:val="0"/>
      <w:autoSpaceDN w:val="0"/>
      <w:bidi w:val="0"/>
      <w:adjustRightInd w:val="0"/>
      <w:jc w:val="both"/>
    </w:pPr>
    <w:rPr>
      <w:bCs/>
      <w:sz w:val="20"/>
      <w:szCs w:val="20"/>
      <w:lang w:bidi="fa-IR"/>
    </w:rPr>
  </w:style>
  <w:style w:type="character" w:customStyle="1" w:styleId="Char3">
    <w:name w:val="رفرانس Char"/>
    <w:basedOn w:val="DefaultParagraphFont"/>
    <w:link w:val="a"/>
    <w:rsid w:val="00EF0E28"/>
    <w:rPr>
      <w:rFonts w:ascii="Times New Roman" w:eastAsia="Times New Roman" w:hAnsi="Times New Roman" w:cs="Times New Roman"/>
      <w:bCs/>
      <w:sz w:val="20"/>
      <w:szCs w:val="20"/>
      <w:lang w:bidi="fa-IR"/>
    </w:rPr>
  </w:style>
  <w:style w:type="character" w:customStyle="1" w:styleId="highlight1">
    <w:name w:val="highlight1"/>
    <w:basedOn w:val="DefaultParagraphFont"/>
    <w:rsid w:val="00EF0E28"/>
    <w:rPr>
      <w:sz w:val="31"/>
      <w:szCs w:val="31"/>
    </w:rPr>
  </w:style>
  <w:style w:type="character" w:customStyle="1" w:styleId="jrnl1">
    <w:name w:val="jrnl1"/>
    <w:basedOn w:val="DefaultParagraphFont"/>
    <w:rsid w:val="00EF0E28"/>
    <w:rPr>
      <w:vanish w:val="0"/>
      <w:webHidden w:val="0"/>
      <w:sz w:val="22"/>
      <w:szCs w:val="22"/>
      <w:specVanish w:val="0"/>
    </w:rPr>
  </w:style>
  <w:style w:type="paragraph" w:customStyle="1" w:styleId="a6">
    <w:name w:val="عنوانمقاله"/>
    <w:basedOn w:val="a2"/>
    <w:qFormat/>
    <w:rsid w:val="004A1983"/>
    <w:pPr>
      <w:spacing w:before="240"/>
    </w:pPr>
    <w:rPr>
      <w:rFonts w:ascii="Baskerville Old Face" w:hAnsi="Baskerville Old Face"/>
      <w:sz w:val="48"/>
      <w:szCs w:val="48"/>
    </w:rPr>
  </w:style>
  <w:style w:type="paragraph" w:customStyle="1" w:styleId="a7">
    <w:name w:val="اسامی نویسندگان آخر"/>
    <w:basedOn w:val="1"/>
    <w:qFormat/>
    <w:rsid w:val="004A1983"/>
    <w:rPr>
      <w:rFonts w:asciiTheme="minorBidi" w:hAnsiTheme="minorBidi" w:cstheme="minorBidi"/>
    </w:rPr>
  </w:style>
  <w:style w:type="paragraph" w:customStyle="1" w:styleId="a1">
    <w:name w:val="عضویت"/>
    <w:basedOn w:val="a3"/>
    <w:qFormat/>
    <w:rsid w:val="004A1983"/>
    <w:rPr>
      <w:rFonts w:asciiTheme="minorBidi" w:hAnsiTheme="minorBidi" w:cstheme="minorBidi"/>
      <w:sz w:val="16"/>
      <w:szCs w:val="16"/>
    </w:rPr>
  </w:style>
  <w:style w:type="paragraph" w:customStyle="1" w:styleId="a8">
    <w:name w:val="نویسنده مسئول"/>
    <w:basedOn w:val="a3"/>
    <w:qFormat/>
    <w:rsid w:val="004A1983"/>
    <w:rPr>
      <w:rFonts w:ascii="Bell MT" w:hAnsi="Bell MT" w:cstheme="minorBidi"/>
      <w:sz w:val="16"/>
      <w:szCs w:val="16"/>
    </w:rPr>
  </w:style>
  <w:style w:type="paragraph" w:customStyle="1" w:styleId="a9">
    <w:name w:val="ابسترکت"/>
    <w:basedOn w:val="a4"/>
    <w:qFormat/>
    <w:rsid w:val="008036BE"/>
    <w:rPr>
      <w:rFonts w:ascii="Verdana" w:hAnsi="Verdana" w:cstheme="minorBidi"/>
      <w:sz w:val="18"/>
      <w:szCs w:val="18"/>
    </w:rPr>
  </w:style>
  <w:style w:type="paragraph" w:customStyle="1" w:styleId="a0">
    <w:name w:val="متن اصلی"/>
    <w:basedOn w:val="a4"/>
    <w:qFormat/>
    <w:rsid w:val="008036BE"/>
    <w:rPr>
      <w:rFonts w:asciiTheme="minorHAnsi" w:hAnsiTheme="minorHAnsi"/>
      <w:sz w:val="22"/>
      <w:szCs w:val="22"/>
    </w:rPr>
  </w:style>
  <w:style w:type="paragraph" w:customStyle="1" w:styleId="aa">
    <w:name w:val="رفرانس اصلی"/>
    <w:basedOn w:val="a"/>
    <w:qFormat/>
    <w:rsid w:val="008036BE"/>
    <w:pPr>
      <w:ind w:left="364"/>
    </w:pPr>
    <w:rPr>
      <w:rFonts w:asciiTheme="minorHAnsi" w:eastAsia="SimSun" w:hAnsiTheme="minorHAnsi"/>
    </w:rPr>
  </w:style>
  <w:style w:type="paragraph" w:customStyle="1" w:styleId="ab">
    <w:name w:val="عنوان مقاله"/>
    <w:basedOn w:val="Normal"/>
    <w:link w:val="Char4"/>
    <w:qFormat/>
    <w:rsid w:val="00A45464"/>
    <w:pPr>
      <w:bidi w:val="0"/>
      <w:spacing w:after="360"/>
      <w:jc w:val="center"/>
    </w:pPr>
    <w:rPr>
      <w:b/>
      <w:bCs/>
      <w:sz w:val="32"/>
      <w:szCs w:val="32"/>
      <w:lang w:bidi="fa-IR"/>
    </w:rPr>
  </w:style>
  <w:style w:type="paragraph" w:customStyle="1" w:styleId="ac">
    <w:name w:val="اسامی نویسندگان"/>
    <w:basedOn w:val="Normal"/>
    <w:link w:val="Char5"/>
    <w:qFormat/>
    <w:rsid w:val="00A45464"/>
    <w:pPr>
      <w:bidi w:val="0"/>
      <w:spacing w:after="120"/>
      <w:jc w:val="both"/>
    </w:pPr>
    <w:rPr>
      <w:b/>
      <w:sz w:val="20"/>
      <w:szCs w:val="20"/>
      <w:lang w:bidi="fa-IR"/>
    </w:rPr>
  </w:style>
  <w:style w:type="character" w:customStyle="1" w:styleId="Char4">
    <w:name w:val="عنوان مقاله Char"/>
    <w:basedOn w:val="DefaultParagraphFont"/>
    <w:link w:val="ab"/>
    <w:rsid w:val="00A45464"/>
    <w:rPr>
      <w:rFonts w:ascii="Times New Roman" w:eastAsia="Times New Roman" w:hAnsi="Times New Roman" w:cs="Times New Roman"/>
      <w:b/>
      <w:bCs/>
      <w:sz w:val="32"/>
      <w:szCs w:val="32"/>
      <w:lang w:bidi="fa-IR"/>
    </w:rPr>
  </w:style>
  <w:style w:type="character" w:customStyle="1" w:styleId="Char5">
    <w:name w:val="اسامی نویسندگان Char"/>
    <w:basedOn w:val="DefaultParagraphFont"/>
    <w:link w:val="ac"/>
    <w:rsid w:val="00A45464"/>
    <w:rPr>
      <w:rFonts w:ascii="Times New Roman" w:eastAsia="Times New Roman" w:hAnsi="Times New Roman" w:cs="Times New Roman"/>
      <w:b/>
      <w:sz w:val="20"/>
      <w:szCs w:val="20"/>
      <w:lang w:bidi="fa-IR"/>
    </w:rPr>
  </w:style>
  <w:style w:type="paragraph" w:customStyle="1" w:styleId="10">
    <w:name w:val="عضویت 1"/>
    <w:basedOn w:val="a1"/>
    <w:link w:val="1Char0"/>
    <w:qFormat/>
    <w:rsid w:val="00E24198"/>
    <w:pPr>
      <w:jc w:val="center"/>
    </w:pPr>
    <w:rPr>
      <w:rFonts w:ascii="Baskerville Old Face" w:hAnsi="Baskerville Old Face" w:cs="Arial"/>
      <w:b/>
      <w:bCs w:val="0"/>
      <w:sz w:val="48"/>
      <w:szCs w:val="48"/>
    </w:rPr>
  </w:style>
  <w:style w:type="paragraph" w:customStyle="1" w:styleId="ad">
    <w:name w:val="متن اصلی مقاله"/>
    <w:basedOn w:val="Normal"/>
    <w:link w:val="Char6"/>
    <w:qFormat/>
    <w:rsid w:val="00A45464"/>
    <w:pPr>
      <w:bidi w:val="0"/>
      <w:jc w:val="both"/>
    </w:pPr>
    <w:rPr>
      <w:lang w:bidi="fa-IR"/>
    </w:rPr>
  </w:style>
  <w:style w:type="character" w:customStyle="1" w:styleId="1Char0">
    <w:name w:val="عضویت 1 Char"/>
    <w:basedOn w:val="DefaultParagraphFont"/>
    <w:link w:val="10"/>
    <w:rsid w:val="00E24198"/>
    <w:rPr>
      <w:rFonts w:ascii="Baskerville Old Face" w:eastAsia="Times New Roman" w:hAnsi="Baskerville Old Face" w:cs="Arial"/>
      <w:b/>
      <w:sz w:val="48"/>
      <w:szCs w:val="48"/>
      <w:lang w:bidi="fa-IR"/>
    </w:rPr>
  </w:style>
  <w:style w:type="character" w:customStyle="1" w:styleId="Char6">
    <w:name w:val="متن اصلی مقاله Char"/>
    <w:basedOn w:val="DefaultParagraphFont"/>
    <w:link w:val="ad"/>
    <w:rsid w:val="00A45464"/>
    <w:rPr>
      <w:rFonts w:ascii="Times New Roman" w:eastAsia="Times New Roman" w:hAnsi="Times New Roman" w:cs="Times New Roman"/>
      <w:sz w:val="24"/>
      <w:szCs w:val="24"/>
      <w:lang w:bidi="fa-IR"/>
    </w:rPr>
  </w:style>
  <w:style w:type="character" w:customStyle="1" w:styleId="A10">
    <w:name w:val="A1"/>
    <w:uiPriority w:val="99"/>
    <w:rsid w:val="00492D41"/>
    <w:rPr>
      <w:color w:val="221E1F"/>
      <w:sz w:val="12"/>
    </w:rPr>
  </w:style>
  <w:style w:type="paragraph" w:customStyle="1" w:styleId="ae">
    <w:name w:val="رفرانس مقاله"/>
    <w:basedOn w:val="Normal"/>
    <w:link w:val="Char7"/>
    <w:qFormat/>
    <w:rsid w:val="00492D41"/>
    <w:pPr>
      <w:autoSpaceDE w:val="0"/>
      <w:autoSpaceDN w:val="0"/>
      <w:bidi w:val="0"/>
      <w:adjustRightInd w:val="0"/>
      <w:ind w:left="364" w:hanging="360"/>
      <w:jc w:val="both"/>
    </w:pPr>
    <w:rPr>
      <w:bCs/>
      <w:sz w:val="20"/>
      <w:szCs w:val="20"/>
      <w:lang w:bidi="fa-IR"/>
    </w:rPr>
  </w:style>
  <w:style w:type="character" w:customStyle="1" w:styleId="Char7">
    <w:name w:val="رفرانس مقاله Char"/>
    <w:basedOn w:val="DefaultParagraphFont"/>
    <w:link w:val="ae"/>
    <w:rsid w:val="00492D41"/>
    <w:rPr>
      <w:rFonts w:ascii="Times New Roman" w:eastAsia="Times New Roman" w:hAnsi="Times New Roman" w:cs="Times New Roman"/>
      <w:bCs/>
      <w:sz w:val="20"/>
      <w:szCs w:val="20"/>
      <w:lang w:bidi="fa-IR"/>
    </w:rPr>
  </w:style>
  <w:style w:type="character" w:customStyle="1" w:styleId="A20">
    <w:name w:val="A2"/>
    <w:uiPriority w:val="99"/>
    <w:rsid w:val="00492D41"/>
    <w:rPr>
      <w:color w:val="000000"/>
      <w:sz w:val="22"/>
      <w:szCs w:val="22"/>
    </w:rPr>
  </w:style>
  <w:style w:type="character" w:customStyle="1" w:styleId="A60">
    <w:name w:val="A6"/>
    <w:uiPriority w:val="99"/>
    <w:rsid w:val="00492D41"/>
    <w:rPr>
      <w:color w:val="000000"/>
      <w:sz w:val="14"/>
      <w:szCs w:val="14"/>
    </w:rPr>
  </w:style>
  <w:style w:type="character" w:customStyle="1" w:styleId="text">
    <w:name w:val="text"/>
    <w:basedOn w:val="DefaultParagraphFont"/>
    <w:rsid w:val="00492D41"/>
  </w:style>
  <w:style w:type="paragraph" w:styleId="BalloonText">
    <w:name w:val="Balloon Text"/>
    <w:basedOn w:val="Normal"/>
    <w:link w:val="BalloonTextChar"/>
    <w:uiPriority w:val="99"/>
    <w:semiHidden/>
    <w:unhideWhenUsed/>
    <w:rsid w:val="00492D41"/>
    <w:rPr>
      <w:rFonts w:ascii="Tahoma" w:hAnsi="Tahoma" w:cs="Tahoma"/>
      <w:sz w:val="16"/>
      <w:szCs w:val="16"/>
    </w:rPr>
  </w:style>
  <w:style w:type="character" w:customStyle="1" w:styleId="BalloonTextChar">
    <w:name w:val="Balloon Text Char"/>
    <w:basedOn w:val="DefaultParagraphFont"/>
    <w:link w:val="BalloonText"/>
    <w:uiPriority w:val="99"/>
    <w:semiHidden/>
    <w:rsid w:val="00492D41"/>
    <w:rPr>
      <w:rFonts w:ascii="Tahoma" w:eastAsia="Times New Roman" w:hAnsi="Tahoma" w:cs="Tahoma"/>
      <w:sz w:val="16"/>
      <w:szCs w:val="16"/>
    </w:rPr>
  </w:style>
  <w:style w:type="paragraph" w:styleId="ListParagraph">
    <w:name w:val="List Paragraph"/>
    <w:basedOn w:val="Normal"/>
    <w:uiPriority w:val="34"/>
    <w:qFormat/>
    <w:rsid w:val="008E1936"/>
    <w:pPr>
      <w:spacing w:after="200" w:line="276" w:lineRule="auto"/>
      <w:ind w:left="720"/>
      <w:contextualSpacing/>
    </w:pPr>
    <w:rPr>
      <w:rFonts w:ascii="Calibri" w:eastAsia="Calibri" w:hAnsi="Calibri" w:cs="Arial"/>
      <w:sz w:val="22"/>
      <w:szCs w:val="22"/>
      <w:lang w:bidi="fa-IR"/>
    </w:rPr>
  </w:style>
  <w:style w:type="character" w:customStyle="1" w:styleId="apple-converted-space">
    <w:name w:val="apple-converted-space"/>
    <w:basedOn w:val="DefaultParagraphFont"/>
    <w:rsid w:val="00263024"/>
  </w:style>
  <w:style w:type="paragraph" w:customStyle="1" w:styleId="af">
    <w:name w:val="رفرانس خوب"/>
    <w:basedOn w:val="aa"/>
    <w:link w:val="Char8"/>
    <w:qFormat/>
    <w:rsid w:val="005D010D"/>
    <w:pPr>
      <w:ind w:left="720"/>
    </w:pPr>
    <w:rPr>
      <w:noProof/>
    </w:rPr>
  </w:style>
  <w:style w:type="character" w:customStyle="1" w:styleId="Char8">
    <w:name w:val="رفرانس خوب Char"/>
    <w:basedOn w:val="DefaultParagraphFont"/>
    <w:link w:val="af"/>
    <w:rsid w:val="005D010D"/>
    <w:rPr>
      <w:rFonts w:eastAsia="SimSun" w:cs="Times New Roman"/>
      <w:bCs/>
      <w:noProof/>
      <w:sz w:val="20"/>
      <w:szCs w:val="20"/>
      <w:lang w:bidi="fa-IR"/>
    </w:rPr>
  </w:style>
  <w:style w:type="paragraph" w:styleId="NormalWeb">
    <w:name w:val="Normal (Web)"/>
    <w:basedOn w:val="Normal"/>
    <w:uiPriority w:val="99"/>
    <w:unhideWhenUsed/>
    <w:rsid w:val="00FE616D"/>
  </w:style>
  <w:style w:type="table" w:styleId="TableGrid">
    <w:name w:val="Table Grid"/>
    <w:basedOn w:val="TableNormal"/>
    <w:uiPriority w:val="59"/>
    <w:rsid w:val="00742026"/>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E4CDF"/>
    <w:pPr>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Heading2Char">
    <w:name w:val="Heading 2 Char"/>
    <w:basedOn w:val="DefaultParagraphFont"/>
    <w:link w:val="Heading2"/>
    <w:uiPriority w:val="9"/>
    <w:rsid w:val="004E3DAA"/>
    <w:rPr>
      <w:rFonts w:eastAsia="Cambria" w:cstheme="minorHAnsi"/>
      <w:b/>
      <w:bCs/>
      <w:u w:color="000000"/>
      <w:lang w:val="fr-FR"/>
    </w:rPr>
  </w:style>
  <w:style w:type="paragraph" w:customStyle="1" w:styleId="Body">
    <w:name w:val="Body"/>
    <w:rsid w:val="004E3DAA"/>
    <w:rPr>
      <w:rFonts w:ascii="Calibri" w:eastAsia="Calibri" w:hAnsi="Calibri" w:cs="Calibri"/>
      <w:color w:val="000000"/>
      <w:u w:color="000000"/>
    </w:rPr>
  </w:style>
  <w:style w:type="table" w:customStyle="1" w:styleId="LightShading1">
    <w:name w:val="Light Shading1"/>
    <w:basedOn w:val="TableNormal"/>
    <w:uiPriority w:val="60"/>
    <w:rsid w:val="000510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EndNoteBibliography">
    <w:name w:val="EndNote Bibliography"/>
    <w:link w:val="EndNoteBibliographyChar"/>
    <w:rsid w:val="008B5750"/>
    <w:pPr>
      <w:spacing w:line="240" w:lineRule="auto"/>
      <w:jc w:val="both"/>
    </w:pPr>
    <w:rPr>
      <w:rFonts w:ascii="Calibri" w:eastAsia="Calibri" w:hAnsi="Calibri" w:cs="Calibri"/>
      <w:color w:val="000000"/>
      <w:u w:color="000000"/>
    </w:rPr>
  </w:style>
  <w:style w:type="character" w:customStyle="1" w:styleId="alt-edited">
    <w:name w:val="alt-edited"/>
    <w:basedOn w:val="DefaultParagraphFont"/>
    <w:rsid w:val="004C2080"/>
  </w:style>
  <w:style w:type="character" w:customStyle="1" w:styleId="Heading1Char">
    <w:name w:val="Heading 1 Char"/>
    <w:basedOn w:val="DefaultParagraphFont"/>
    <w:link w:val="Heading1"/>
    <w:uiPriority w:val="9"/>
    <w:rsid w:val="004C2080"/>
    <w:rPr>
      <w:rFonts w:eastAsia="Times New Roman" w:cstheme="minorHAnsi"/>
      <w:b/>
      <w:bCs/>
      <w:caps/>
      <w:lang w:bidi="fa-IR"/>
    </w:rPr>
  </w:style>
  <w:style w:type="character" w:customStyle="1" w:styleId="EndNoteBibliographyChar">
    <w:name w:val="EndNote Bibliography Char"/>
    <w:basedOn w:val="DefaultParagraphFont"/>
    <w:link w:val="EndNoteBibliography"/>
    <w:rsid w:val="004C2080"/>
    <w:rPr>
      <w:rFonts w:ascii="Calibri" w:eastAsia="Calibri" w:hAnsi="Calibri" w:cs="Calibri"/>
      <w:color w:val="000000"/>
      <w:u w:color="000000"/>
    </w:rPr>
  </w:style>
  <w:style w:type="character" w:customStyle="1" w:styleId="hps">
    <w:name w:val="hps"/>
    <w:basedOn w:val="DefaultParagraphFont"/>
    <w:rsid w:val="004C2080"/>
  </w:style>
  <w:style w:type="character" w:customStyle="1" w:styleId="Heading3Char">
    <w:name w:val="Heading 3 Char"/>
    <w:basedOn w:val="DefaultParagraphFont"/>
    <w:link w:val="Heading3"/>
    <w:uiPriority w:val="9"/>
    <w:rsid w:val="00E24198"/>
    <w:rPr>
      <w:rFonts w:asciiTheme="minorBidi" w:eastAsia="Times New Roman" w:hAnsiTheme="minorBidi"/>
      <w:bCs/>
      <w:sz w:val="16"/>
      <w:szCs w:val="16"/>
      <w:lang w:bidi="fa-IR"/>
    </w:rPr>
  </w:style>
  <w:style w:type="character" w:styleId="PlaceholderText">
    <w:name w:val="Placeholder Text"/>
    <w:basedOn w:val="DefaultParagraphFont"/>
    <w:uiPriority w:val="99"/>
    <w:semiHidden/>
    <w:rsid w:val="00C456A4"/>
    <w:rPr>
      <w:color w:val="808080"/>
    </w:rPr>
  </w:style>
  <w:style w:type="character" w:customStyle="1" w:styleId="highlight">
    <w:name w:val="highlight"/>
    <w:basedOn w:val="DefaultParagraphFont"/>
    <w:rsid w:val="00C456A4"/>
  </w:style>
  <w:style w:type="character" w:customStyle="1" w:styleId="Heading4Char">
    <w:name w:val="Heading 4 Char"/>
    <w:basedOn w:val="DefaultParagraphFont"/>
    <w:link w:val="Heading4"/>
    <w:uiPriority w:val="9"/>
    <w:rsid w:val="00393CDD"/>
    <w:rPr>
      <w:rFonts w:eastAsia="Times New Roman" w:cs="Times New Roman"/>
      <w:b/>
      <w:sz w:val="16"/>
      <w:szCs w:val="16"/>
    </w:rPr>
  </w:style>
  <w:style w:type="character" w:customStyle="1" w:styleId="st">
    <w:name w:val="st"/>
    <w:basedOn w:val="DefaultParagraphFont"/>
    <w:rsid w:val="00414A65"/>
  </w:style>
  <w:style w:type="character" w:customStyle="1" w:styleId="fm-citation-ids-label">
    <w:name w:val="fm-citation-ids-label"/>
    <w:rsid w:val="009448DB"/>
  </w:style>
  <w:style w:type="character" w:customStyle="1" w:styleId="slug-doi">
    <w:name w:val="slug-doi"/>
    <w:rsid w:val="009448DB"/>
  </w:style>
  <w:style w:type="character" w:customStyle="1" w:styleId="article-headermeta-info-label">
    <w:name w:val="article-header__meta-info-label"/>
    <w:basedOn w:val="DefaultParagraphFont"/>
    <w:rsid w:val="009448DB"/>
  </w:style>
  <w:style w:type="character" w:customStyle="1" w:styleId="article-headermeta-info-data">
    <w:name w:val="article-header__meta-info-data"/>
    <w:basedOn w:val="DefaultParagraphFont"/>
    <w:rsid w:val="009448DB"/>
  </w:style>
  <w:style w:type="character" w:customStyle="1" w:styleId="highwire-cite-doi">
    <w:name w:val="highwire-cite-doi"/>
    <w:basedOn w:val="DefaultParagraphFont"/>
    <w:rsid w:val="009448DB"/>
  </w:style>
  <w:style w:type="character" w:customStyle="1" w:styleId="doi">
    <w:name w:val="doi"/>
    <w:basedOn w:val="DefaultParagraphFont"/>
    <w:rsid w:val="009448DB"/>
  </w:style>
  <w:style w:type="paragraph" w:customStyle="1" w:styleId="Prrafodelista">
    <w:name w:val="Párrafo de lista"/>
    <w:rsid w:val="001F7E09"/>
    <w:pPr>
      <w:pBdr>
        <w:top w:val="nil"/>
        <w:left w:val="nil"/>
        <w:bottom w:val="nil"/>
        <w:right w:val="nil"/>
        <w:between w:val="nil"/>
        <w:bar w:val="nil"/>
      </w:pBdr>
      <w:spacing w:after="0" w:line="240" w:lineRule="auto"/>
      <w:ind w:left="720"/>
    </w:pPr>
    <w:rPr>
      <w:rFonts w:ascii="Cambria" w:eastAsia="Cambria" w:hAnsi="Cambria" w:cs="Cambria"/>
      <w:color w:val="000000"/>
      <w:sz w:val="24"/>
      <w:szCs w:val="24"/>
      <w:u w:color="000000"/>
      <w:bdr w:val="nil"/>
      <w:lang w:val="es-ES_tradnl" w:bidi="fa-IR"/>
    </w:rPr>
  </w:style>
  <w:style w:type="character" w:customStyle="1" w:styleId="None">
    <w:name w:val="None"/>
    <w:rsid w:val="001F7E09"/>
  </w:style>
  <w:style w:type="numbering" w:customStyle="1" w:styleId="ImportedStyle2">
    <w:name w:val="Imported Style 2"/>
    <w:rsid w:val="001F7E09"/>
    <w:pPr>
      <w:numPr>
        <w:numId w:val="17"/>
      </w:numPr>
    </w:pPr>
  </w:style>
  <w:style w:type="character" w:customStyle="1" w:styleId="Hyperlink0">
    <w:name w:val="Hyperlink.0"/>
    <w:basedOn w:val="None"/>
    <w:rsid w:val="001F7E09"/>
    <w:rPr>
      <w:color w:val="0000FF"/>
      <w:u w:val="single" w:color="0000FF"/>
      <w:lang w:val="en-US"/>
    </w:rPr>
  </w:style>
  <w:style w:type="paragraph" w:styleId="NoSpacing">
    <w:name w:val="No Spacing"/>
    <w:uiPriority w:val="1"/>
    <w:qFormat/>
    <w:rsid w:val="001F704C"/>
    <w:pPr>
      <w:spacing w:after="0" w:line="240" w:lineRule="auto"/>
    </w:pPr>
  </w:style>
  <w:style w:type="table" w:customStyle="1" w:styleId="LightShading-Accent11">
    <w:name w:val="Light Shading - Accent 11"/>
    <w:basedOn w:val="TableNormal"/>
    <w:uiPriority w:val="60"/>
    <w:rsid w:val="003C33FF"/>
    <w:pPr>
      <w:spacing w:after="0" w:line="240" w:lineRule="auto"/>
    </w:pPr>
    <w:rPr>
      <w:rFonts w:eastAsiaTheme="minorEastAsia"/>
      <w:color w:val="365F91" w:themeColor="accent1" w:themeShade="BF"/>
      <w:lang w:bidi="fa-IR"/>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014314"/>
    <w:pPr>
      <w:spacing w:after="120"/>
    </w:pPr>
  </w:style>
  <w:style w:type="character" w:customStyle="1" w:styleId="BodyTextChar">
    <w:name w:val="Body Text Char"/>
    <w:basedOn w:val="DefaultParagraphFont"/>
    <w:link w:val="BodyText"/>
    <w:uiPriority w:val="99"/>
    <w:semiHidden/>
    <w:rsid w:val="000143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99040">
      <w:bodyDiv w:val="1"/>
      <w:marLeft w:val="0"/>
      <w:marRight w:val="0"/>
      <w:marTop w:val="0"/>
      <w:marBottom w:val="0"/>
      <w:divBdr>
        <w:top w:val="none" w:sz="0" w:space="0" w:color="auto"/>
        <w:left w:val="none" w:sz="0" w:space="0" w:color="auto"/>
        <w:bottom w:val="none" w:sz="0" w:space="0" w:color="auto"/>
        <w:right w:val="none" w:sz="0" w:space="0" w:color="auto"/>
      </w:divBdr>
    </w:div>
    <w:div w:id="246424499">
      <w:bodyDiv w:val="1"/>
      <w:marLeft w:val="0"/>
      <w:marRight w:val="0"/>
      <w:marTop w:val="0"/>
      <w:marBottom w:val="0"/>
      <w:divBdr>
        <w:top w:val="none" w:sz="0" w:space="0" w:color="auto"/>
        <w:left w:val="none" w:sz="0" w:space="0" w:color="auto"/>
        <w:bottom w:val="none" w:sz="0" w:space="0" w:color="auto"/>
        <w:right w:val="none" w:sz="0" w:space="0" w:color="auto"/>
      </w:divBdr>
    </w:div>
    <w:div w:id="643656443">
      <w:bodyDiv w:val="1"/>
      <w:marLeft w:val="0"/>
      <w:marRight w:val="0"/>
      <w:marTop w:val="0"/>
      <w:marBottom w:val="0"/>
      <w:divBdr>
        <w:top w:val="none" w:sz="0" w:space="0" w:color="auto"/>
        <w:left w:val="none" w:sz="0" w:space="0" w:color="auto"/>
        <w:bottom w:val="none" w:sz="0" w:space="0" w:color="auto"/>
        <w:right w:val="none" w:sz="0" w:space="0" w:color="auto"/>
      </w:divBdr>
    </w:div>
    <w:div w:id="960308283">
      <w:bodyDiv w:val="1"/>
      <w:marLeft w:val="0"/>
      <w:marRight w:val="0"/>
      <w:marTop w:val="0"/>
      <w:marBottom w:val="0"/>
      <w:divBdr>
        <w:top w:val="none" w:sz="0" w:space="0" w:color="auto"/>
        <w:left w:val="none" w:sz="0" w:space="0" w:color="auto"/>
        <w:bottom w:val="none" w:sz="0" w:space="0" w:color="auto"/>
        <w:right w:val="none" w:sz="0" w:space="0" w:color="auto"/>
      </w:divBdr>
    </w:div>
    <w:div w:id="1185821853">
      <w:bodyDiv w:val="1"/>
      <w:marLeft w:val="0"/>
      <w:marRight w:val="0"/>
      <w:marTop w:val="0"/>
      <w:marBottom w:val="0"/>
      <w:divBdr>
        <w:top w:val="none" w:sz="0" w:space="0" w:color="auto"/>
        <w:left w:val="none" w:sz="0" w:space="0" w:color="auto"/>
        <w:bottom w:val="none" w:sz="0" w:space="0" w:color="auto"/>
        <w:right w:val="none" w:sz="0" w:space="0" w:color="auto"/>
      </w:divBdr>
    </w:div>
    <w:div w:id="1339848382">
      <w:bodyDiv w:val="1"/>
      <w:marLeft w:val="0"/>
      <w:marRight w:val="0"/>
      <w:marTop w:val="0"/>
      <w:marBottom w:val="0"/>
      <w:divBdr>
        <w:top w:val="none" w:sz="0" w:space="0" w:color="auto"/>
        <w:left w:val="none" w:sz="0" w:space="0" w:color="auto"/>
        <w:bottom w:val="none" w:sz="0" w:space="0" w:color="auto"/>
        <w:right w:val="none" w:sz="0" w:space="0" w:color="auto"/>
      </w:divBdr>
    </w:div>
    <w:div w:id="149502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ncbi.nlm.nih.gov/pubmed/22535620" TargetMode="External"/><Relationship Id="rId26" Type="http://schemas.openxmlformats.org/officeDocument/2006/relationships/hyperlink" Target="https://www.ncbi.nlm.nih.gov/pubmed/14530175" TargetMode="External"/><Relationship Id="rId3" Type="http://schemas.openxmlformats.org/officeDocument/2006/relationships/styles" Target="styles.xml"/><Relationship Id="rId21" Type="http://schemas.openxmlformats.org/officeDocument/2006/relationships/hyperlink" Target="https://www.ncbi.nlm.nih.gov/pubmed/14838967"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ncbi.nlm.nih.gov/pubmed/?term=Costa%20FF%5BAuthor%5D&amp;cauthor=true&amp;cauthor_uid=18791648" TargetMode="External"/><Relationship Id="rId25" Type="http://schemas.openxmlformats.org/officeDocument/2006/relationships/hyperlink" Target="https://www.ncbi.nlm.nih.gov/pubmed/16886064" TargetMode="External"/><Relationship Id="rId33" Type="http://schemas.openxmlformats.org/officeDocument/2006/relationships/hyperlink" Target="https://www.ncbi.nlm.nih.gov/pubmed/21304099" TargetMode="External"/><Relationship Id="rId2" Type="http://schemas.openxmlformats.org/officeDocument/2006/relationships/numbering" Target="numbering.xml"/><Relationship Id="rId16" Type="http://schemas.openxmlformats.org/officeDocument/2006/relationships/hyperlink" Target="https://www.ncbi.nlm.nih.gov/pubmed/?term=Sonati%20Mde%20F%5BAuthor%5D&amp;cauthor=true&amp;cauthor_uid=18791648" TargetMode="External"/><Relationship Id="rId20" Type="http://schemas.openxmlformats.org/officeDocument/2006/relationships/hyperlink" Target="https://www.ncbi.nlm.nih.gov/pubmed/20001619" TargetMode="External"/><Relationship Id="rId29" Type="http://schemas.openxmlformats.org/officeDocument/2006/relationships/hyperlink" Target="https://www.ncbi.nlm.nih.gov/pubmed/?term=De%20Castro%20L%5BAuthor%5D&amp;cauthor=true&amp;cauthor_uid=174084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ncbi.nlm.nih.gov/pubmed/8630372" TargetMode="External"/><Relationship Id="rId32" Type="http://schemas.openxmlformats.org/officeDocument/2006/relationships/hyperlink" Target="https://www.ncbi.nlm.nih.gov/pubmed/16470016"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www.ncbi.nlm.nih.gov/pubmed/15877729" TargetMode="External"/><Relationship Id="rId28" Type="http://schemas.openxmlformats.org/officeDocument/2006/relationships/hyperlink" Target="https://www.ncbi.nlm.nih.gov/pubmed/?term=Ashley-Koch%20AE%5BAuthor%5D&amp;cauthor=true&amp;cauthor_uid=17408468" TargetMode="External"/><Relationship Id="rId10" Type="http://schemas.openxmlformats.org/officeDocument/2006/relationships/header" Target="header2.xml"/><Relationship Id="rId19" Type="http://schemas.openxmlformats.org/officeDocument/2006/relationships/hyperlink" Target="https://www.ncbi.nlm.nih.gov/pubmed/19712051" TargetMode="External"/><Relationship Id="rId31" Type="http://schemas.openxmlformats.org/officeDocument/2006/relationships/hyperlink" Target="https://www.ncbi.nlm.nih.gov/pubmed/1645139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bi.nlm.nih.gov/pubmed/15551290" TargetMode="External"/><Relationship Id="rId27" Type="http://schemas.openxmlformats.org/officeDocument/2006/relationships/hyperlink" Target="https://www.ncbi.nlm.nih.gov/pubmed/17934349" TargetMode="External"/><Relationship Id="rId30" Type="http://schemas.openxmlformats.org/officeDocument/2006/relationships/hyperlink" Target="https://www.ncbi.nlm.nih.gov/pubmed/17408468" TargetMode="External"/><Relationship Id="rId35" Type="http://schemas.openxmlformats.org/officeDocument/2006/relationships/theme" Target="theme/theme1.xml"/><Relationship Id="rId8" Type="http://schemas.openxmlformats.org/officeDocument/2006/relationships/hyperlink" Target="mailto:r_abdelraou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26DF-20D1-4B34-9509-85B6B6A59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7</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Gh.Sarvi</Company>
  <LinksUpToDate>false</LinksUpToDate>
  <CharactersWithSpaces>26488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hajar nasiri</dc:creator>
  <cp:lastModifiedBy>naemi</cp:lastModifiedBy>
  <cp:revision>57</cp:revision>
  <cp:lastPrinted>2018-01-02T18:24:00Z</cp:lastPrinted>
  <dcterms:created xsi:type="dcterms:W3CDTF">2018-10-01T17:03:00Z</dcterms:created>
  <dcterms:modified xsi:type="dcterms:W3CDTF">2019-01-01T19:08:00Z</dcterms:modified>
</cp:coreProperties>
</file>