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D1" w:rsidRPr="004447D1" w:rsidRDefault="004447D1" w:rsidP="004447D1">
      <w:pPr>
        <w:shd w:val="clear" w:color="auto" w:fill="FFFFFF"/>
        <w:bidi w:val="0"/>
        <w:spacing w:before="308" w:after="154" w:line="240" w:lineRule="auto"/>
        <w:jc w:val="both"/>
        <w:outlineLvl w:val="2"/>
        <w:rPr>
          <w:rFonts w:ascii="Arial" w:eastAsia="Times New Roman" w:hAnsi="Arial" w:cs="Arial"/>
          <w:b/>
          <w:bCs/>
          <w:color w:val="724128"/>
        </w:rPr>
      </w:pPr>
      <w:r w:rsidRPr="004447D1">
        <w:rPr>
          <w:rFonts w:ascii="Arial" w:eastAsia="Times New Roman" w:hAnsi="Arial" w:cs="Arial"/>
          <w:b/>
          <w:bCs/>
          <w:color w:val="724128"/>
        </w:rPr>
        <w:t>Abstract</w:t>
      </w:r>
    </w:p>
    <w:p w:rsidR="004447D1" w:rsidRPr="004447D1" w:rsidRDefault="004447D1" w:rsidP="004447D1">
      <w:pPr>
        <w:shd w:val="clear" w:color="auto" w:fill="FFFFFF"/>
        <w:bidi w:val="0"/>
        <w:spacing w:before="100" w:beforeAutospacing="1" w:after="100" w:afterAutospacing="1" w:line="240" w:lineRule="auto"/>
        <w:jc w:val="both"/>
        <w:rPr>
          <w:rFonts w:ascii="Arial" w:eastAsia="Times New Roman" w:hAnsi="Arial" w:cs="Arial"/>
          <w:sz w:val="20"/>
          <w:szCs w:val="20"/>
        </w:rPr>
      </w:pPr>
      <w:r w:rsidRPr="004447D1">
        <w:rPr>
          <w:rFonts w:ascii="Arial" w:eastAsia="Times New Roman" w:hAnsi="Arial" w:cs="Arial"/>
          <w:sz w:val="20"/>
          <w:szCs w:val="20"/>
        </w:rPr>
        <w:t xml:space="preserve">This study was carried out to evaluate the effect of varying implant position in immediately loaded implant-supported mandibular </w:t>
      </w:r>
      <w:proofErr w:type="spellStart"/>
      <w:r w:rsidRPr="004447D1">
        <w:rPr>
          <w:rFonts w:ascii="Arial" w:eastAsia="Times New Roman" w:hAnsi="Arial" w:cs="Arial"/>
          <w:sz w:val="20"/>
          <w:szCs w:val="20"/>
        </w:rPr>
        <w:t>overdentures</w:t>
      </w:r>
      <w:proofErr w:type="spellEnd"/>
      <w:r w:rsidRPr="004447D1">
        <w:rPr>
          <w:rFonts w:ascii="Arial" w:eastAsia="Times New Roman" w:hAnsi="Arial" w:cs="Arial"/>
          <w:sz w:val="20"/>
          <w:szCs w:val="20"/>
        </w:rPr>
        <w:t xml:space="preserve"> on </w:t>
      </w:r>
      <w:proofErr w:type="spellStart"/>
      <w:r w:rsidRPr="004447D1">
        <w:rPr>
          <w:rFonts w:ascii="Arial" w:eastAsia="Times New Roman" w:hAnsi="Arial" w:cs="Arial"/>
          <w:sz w:val="20"/>
          <w:szCs w:val="20"/>
        </w:rPr>
        <w:t>peri</w:t>
      </w:r>
      <w:proofErr w:type="spellEnd"/>
      <w:r w:rsidRPr="004447D1">
        <w:rPr>
          <w:rFonts w:ascii="Arial" w:eastAsia="Times New Roman" w:hAnsi="Arial" w:cs="Arial"/>
          <w:sz w:val="20"/>
          <w:szCs w:val="20"/>
        </w:rPr>
        <w:t xml:space="preserve">-implant bone density, muscle activity, and patient satisfaction. Fourteen completely edentulous patients were selected for the study. After complete denture construction, patients were divided into 2 equal groups. Four dental implants were installed bilaterally in the </w:t>
      </w:r>
      <w:proofErr w:type="spellStart"/>
      <w:r w:rsidRPr="004447D1">
        <w:rPr>
          <w:rFonts w:ascii="Arial" w:eastAsia="Times New Roman" w:hAnsi="Arial" w:cs="Arial"/>
          <w:sz w:val="20"/>
          <w:szCs w:val="20"/>
        </w:rPr>
        <w:t>interforaminal</w:t>
      </w:r>
      <w:proofErr w:type="spellEnd"/>
      <w:r w:rsidRPr="004447D1">
        <w:rPr>
          <w:rFonts w:ascii="Arial" w:eastAsia="Times New Roman" w:hAnsi="Arial" w:cs="Arial"/>
          <w:sz w:val="20"/>
          <w:szCs w:val="20"/>
        </w:rPr>
        <w:t xml:space="preserve"> region in the first group, while in the second group, 4 dental implants were inserted bilaterally: 2 in the </w:t>
      </w:r>
      <w:proofErr w:type="spellStart"/>
      <w:r w:rsidRPr="004447D1">
        <w:rPr>
          <w:rFonts w:ascii="Arial" w:eastAsia="Times New Roman" w:hAnsi="Arial" w:cs="Arial"/>
          <w:sz w:val="20"/>
          <w:szCs w:val="20"/>
        </w:rPr>
        <w:t>interforaminal</w:t>
      </w:r>
      <w:proofErr w:type="spellEnd"/>
      <w:r w:rsidRPr="004447D1">
        <w:rPr>
          <w:rFonts w:ascii="Arial" w:eastAsia="Times New Roman" w:hAnsi="Arial" w:cs="Arial"/>
          <w:sz w:val="20"/>
          <w:szCs w:val="20"/>
        </w:rPr>
        <w:t xml:space="preserve"> region and 2 in the first molar area. Immediately after suturing, telescopic abutments were screwed to the implants, and the retaining caps were picked up into the fitting surface of the lower denture, which was delivered to the patient. Patients were recalled for radiographic bone density evaluation just after denture delivery and then at 3, 6, and 12 months thereafter. Muscle activities of masseter and temporalis muscles as well as patient satisfaction were also evaluated. The results of the study showed a high success rate approximating 98.2% of the immediately loaded implants. The </w:t>
      </w:r>
      <w:proofErr w:type="spellStart"/>
      <w:r w:rsidRPr="004447D1">
        <w:rPr>
          <w:rFonts w:ascii="Arial" w:eastAsia="Times New Roman" w:hAnsi="Arial" w:cs="Arial"/>
          <w:sz w:val="20"/>
          <w:szCs w:val="20"/>
        </w:rPr>
        <w:t>electromyographic</w:t>
      </w:r>
      <w:proofErr w:type="spellEnd"/>
      <w:r w:rsidRPr="004447D1">
        <w:rPr>
          <w:rFonts w:ascii="Arial" w:eastAsia="Times New Roman" w:hAnsi="Arial" w:cs="Arial"/>
          <w:sz w:val="20"/>
          <w:szCs w:val="20"/>
        </w:rPr>
        <w:t xml:space="preserve"> (EMG) records of both muscles in group 1 were significantly higher during chewing hard food after 3 months compared with group 2 (P &lt; .05). Bone density changes were comparable in the 2 groups except at the end of the follow-up period, when group 2 showed a significant increase in </w:t>
      </w:r>
      <w:proofErr w:type="spellStart"/>
      <w:r w:rsidRPr="004447D1">
        <w:rPr>
          <w:rFonts w:ascii="Arial" w:eastAsia="Times New Roman" w:hAnsi="Arial" w:cs="Arial"/>
          <w:sz w:val="20"/>
          <w:szCs w:val="20"/>
        </w:rPr>
        <w:t>peri</w:t>
      </w:r>
      <w:proofErr w:type="spellEnd"/>
      <w:r w:rsidRPr="004447D1">
        <w:rPr>
          <w:rFonts w:ascii="Arial" w:eastAsia="Times New Roman" w:hAnsi="Arial" w:cs="Arial"/>
          <w:sz w:val="20"/>
          <w:szCs w:val="20"/>
        </w:rPr>
        <w:t xml:space="preserve">-implant bone density values of the posteriorly placed implants compared with group 1 (P &lt; .05). From the results of this study, it may be concluded that wide distribution of immediately loaded implants used for supporting mandibular </w:t>
      </w:r>
      <w:proofErr w:type="spellStart"/>
      <w:r w:rsidRPr="004447D1">
        <w:rPr>
          <w:rFonts w:ascii="Arial" w:eastAsia="Times New Roman" w:hAnsi="Arial" w:cs="Arial"/>
          <w:sz w:val="20"/>
          <w:szCs w:val="20"/>
        </w:rPr>
        <w:t>overdentures</w:t>
      </w:r>
      <w:proofErr w:type="spellEnd"/>
      <w:r w:rsidRPr="004447D1">
        <w:rPr>
          <w:rFonts w:ascii="Arial" w:eastAsia="Times New Roman" w:hAnsi="Arial" w:cs="Arial"/>
          <w:sz w:val="20"/>
          <w:szCs w:val="20"/>
        </w:rPr>
        <w:t xml:space="preserve"> through posterior placement beyond the </w:t>
      </w:r>
      <w:proofErr w:type="spellStart"/>
      <w:r w:rsidRPr="004447D1">
        <w:rPr>
          <w:rFonts w:ascii="Arial" w:eastAsia="Times New Roman" w:hAnsi="Arial" w:cs="Arial"/>
          <w:sz w:val="20"/>
          <w:szCs w:val="20"/>
        </w:rPr>
        <w:t>interforaminal</w:t>
      </w:r>
      <w:proofErr w:type="spellEnd"/>
      <w:r w:rsidRPr="004447D1">
        <w:rPr>
          <w:rFonts w:ascii="Arial" w:eastAsia="Times New Roman" w:hAnsi="Arial" w:cs="Arial"/>
          <w:sz w:val="20"/>
          <w:szCs w:val="20"/>
        </w:rPr>
        <w:t xml:space="preserve"> area results in a favorable response in terms of increased </w:t>
      </w:r>
      <w:proofErr w:type="spellStart"/>
      <w:r w:rsidRPr="004447D1">
        <w:rPr>
          <w:rFonts w:ascii="Arial" w:eastAsia="Times New Roman" w:hAnsi="Arial" w:cs="Arial"/>
          <w:sz w:val="20"/>
          <w:szCs w:val="20"/>
        </w:rPr>
        <w:t>peri</w:t>
      </w:r>
      <w:proofErr w:type="spellEnd"/>
      <w:r w:rsidRPr="004447D1">
        <w:rPr>
          <w:rFonts w:ascii="Arial" w:eastAsia="Times New Roman" w:hAnsi="Arial" w:cs="Arial"/>
          <w:sz w:val="20"/>
          <w:szCs w:val="20"/>
        </w:rPr>
        <w:t xml:space="preserve">-implant bone density as well as decreased EMG activity of masseter and temporalis muscles. </w:t>
      </w:r>
    </w:p>
    <w:p w:rsidR="00B27584" w:rsidRDefault="00B27584" w:rsidP="004447D1">
      <w:pPr>
        <w:bidi w:val="0"/>
        <w:jc w:val="both"/>
        <w:rPr>
          <w:rFonts w:hint="cs"/>
          <w:lang w:bidi="ar-EG"/>
        </w:rPr>
      </w:pPr>
      <w:bookmarkStart w:id="0" w:name="_GoBack"/>
      <w:bookmarkEnd w:id="0"/>
    </w:p>
    <w:sectPr w:rsidR="00B27584" w:rsidSect="0087437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B1"/>
    <w:rsid w:val="004163B1"/>
    <w:rsid w:val="004447D1"/>
    <w:rsid w:val="00650EF6"/>
    <w:rsid w:val="00874376"/>
    <w:rsid w:val="00B2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4447D1"/>
    <w:pPr>
      <w:bidi w:val="0"/>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7D1"/>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4447D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4447D1"/>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4447D1"/>
    <w:pPr>
      <w:bidi w:val="0"/>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7D1"/>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4447D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4447D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77623">
      <w:bodyDiv w:val="1"/>
      <w:marLeft w:val="0"/>
      <w:marRight w:val="0"/>
      <w:marTop w:val="0"/>
      <w:marBottom w:val="0"/>
      <w:divBdr>
        <w:top w:val="none" w:sz="0" w:space="0" w:color="auto"/>
        <w:left w:val="none" w:sz="0" w:space="0" w:color="auto"/>
        <w:bottom w:val="none" w:sz="0" w:space="0" w:color="auto"/>
        <w:right w:val="none" w:sz="0" w:space="0" w:color="auto"/>
      </w:divBdr>
      <w:divsChild>
        <w:div w:id="251624778">
          <w:marLeft w:val="0"/>
          <w:marRight w:val="1"/>
          <w:marTop w:val="0"/>
          <w:marBottom w:val="0"/>
          <w:divBdr>
            <w:top w:val="none" w:sz="0" w:space="0" w:color="auto"/>
            <w:left w:val="none" w:sz="0" w:space="0" w:color="auto"/>
            <w:bottom w:val="none" w:sz="0" w:space="0" w:color="auto"/>
            <w:right w:val="none" w:sz="0" w:space="0" w:color="auto"/>
          </w:divBdr>
          <w:divsChild>
            <w:div w:id="613906357">
              <w:marLeft w:val="0"/>
              <w:marRight w:val="0"/>
              <w:marTop w:val="0"/>
              <w:marBottom w:val="0"/>
              <w:divBdr>
                <w:top w:val="none" w:sz="0" w:space="0" w:color="auto"/>
                <w:left w:val="none" w:sz="0" w:space="0" w:color="auto"/>
                <w:bottom w:val="none" w:sz="0" w:space="0" w:color="auto"/>
                <w:right w:val="none" w:sz="0" w:space="0" w:color="auto"/>
              </w:divBdr>
              <w:divsChild>
                <w:div w:id="1811508756">
                  <w:marLeft w:val="0"/>
                  <w:marRight w:val="1"/>
                  <w:marTop w:val="0"/>
                  <w:marBottom w:val="0"/>
                  <w:divBdr>
                    <w:top w:val="none" w:sz="0" w:space="0" w:color="auto"/>
                    <w:left w:val="none" w:sz="0" w:space="0" w:color="auto"/>
                    <w:bottom w:val="none" w:sz="0" w:space="0" w:color="auto"/>
                    <w:right w:val="none" w:sz="0" w:space="0" w:color="auto"/>
                  </w:divBdr>
                  <w:divsChild>
                    <w:div w:id="1995601744">
                      <w:marLeft w:val="0"/>
                      <w:marRight w:val="0"/>
                      <w:marTop w:val="0"/>
                      <w:marBottom w:val="0"/>
                      <w:divBdr>
                        <w:top w:val="none" w:sz="0" w:space="0" w:color="auto"/>
                        <w:left w:val="none" w:sz="0" w:space="0" w:color="auto"/>
                        <w:bottom w:val="none" w:sz="0" w:space="0" w:color="auto"/>
                        <w:right w:val="none" w:sz="0" w:space="0" w:color="auto"/>
                      </w:divBdr>
                      <w:divsChild>
                        <w:div w:id="2073697031">
                          <w:marLeft w:val="0"/>
                          <w:marRight w:val="0"/>
                          <w:marTop w:val="0"/>
                          <w:marBottom w:val="0"/>
                          <w:divBdr>
                            <w:top w:val="none" w:sz="0" w:space="0" w:color="auto"/>
                            <w:left w:val="none" w:sz="0" w:space="0" w:color="auto"/>
                            <w:bottom w:val="none" w:sz="0" w:space="0" w:color="auto"/>
                            <w:right w:val="none" w:sz="0" w:space="0" w:color="auto"/>
                          </w:divBdr>
                          <w:divsChild>
                            <w:div w:id="1906528478">
                              <w:marLeft w:val="0"/>
                              <w:marRight w:val="0"/>
                              <w:marTop w:val="120"/>
                              <w:marBottom w:val="360"/>
                              <w:divBdr>
                                <w:top w:val="none" w:sz="0" w:space="0" w:color="auto"/>
                                <w:left w:val="none" w:sz="0" w:space="0" w:color="auto"/>
                                <w:bottom w:val="none" w:sz="0" w:space="0" w:color="auto"/>
                                <w:right w:val="none" w:sz="0" w:space="0" w:color="auto"/>
                              </w:divBdr>
                              <w:divsChild>
                                <w:div w:id="1897625641">
                                  <w:marLeft w:val="0"/>
                                  <w:marRight w:val="0"/>
                                  <w:marTop w:val="0"/>
                                  <w:marBottom w:val="0"/>
                                  <w:divBdr>
                                    <w:top w:val="none" w:sz="0" w:space="0" w:color="auto"/>
                                    <w:left w:val="none" w:sz="0" w:space="0" w:color="auto"/>
                                    <w:bottom w:val="none" w:sz="0" w:space="0" w:color="auto"/>
                                    <w:right w:val="none" w:sz="0" w:space="0" w:color="auto"/>
                                  </w:divBdr>
                                  <w:divsChild>
                                    <w:div w:id="4731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2014-02-04T12:12:00Z</dcterms:created>
  <dcterms:modified xsi:type="dcterms:W3CDTF">2014-02-04T12:12:00Z</dcterms:modified>
</cp:coreProperties>
</file>