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4D" w:rsidRDefault="00994059" w:rsidP="003710FB">
      <w:pPr>
        <w:tabs>
          <w:tab w:val="left" w:pos="6594"/>
        </w:tabs>
        <w:bidi/>
        <w:spacing w:line="240" w:lineRule="auto"/>
        <w:jc w:val="both"/>
        <w:rPr>
          <w:rFonts w:ascii="ae_AlBattar" w:hAnsi="ae_AlBattar" w:cs="ae_AlBattar"/>
          <w:sz w:val="40"/>
          <w:szCs w:val="40"/>
          <w:lang w:bidi="ar-EG"/>
        </w:rPr>
      </w:pPr>
      <w:r>
        <w:rPr>
          <w:rFonts w:ascii="ae_AlBattar" w:hAnsi="ae_AlBattar" w:cs="ae_AlBattar"/>
          <w:noProof/>
          <w:sz w:val="40"/>
          <w:szCs w:val="40"/>
        </w:rPr>
        <w:pict>
          <v:roundrect id="_x0000_s1026" style="position:absolute;left:0;text-align:left;margin-left:121.25pt;margin-top:-8.4pt;width:235.3pt;height:42.8pt;z-index:251658240" arcsize="10923f">
            <v:textbox style="mso-next-textbox:#_x0000_s1026">
              <w:txbxContent>
                <w:p w:rsidR="00FA654D" w:rsidRDefault="00FA654D" w:rsidP="00EB2C09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  <w:r w:rsidRPr="003B0902">
                    <w:rPr>
                      <w:rFonts w:ascii="ae_AlBattar" w:hAnsi="ae_AlBattar" w:cs="ae_AlBattar" w:hint="cs"/>
                      <w:sz w:val="40"/>
                      <w:szCs w:val="40"/>
                      <w:rtl/>
                      <w:lang w:bidi="ar-EG"/>
                    </w:rPr>
                    <w:t xml:space="preserve">ملخص </w:t>
                  </w:r>
                  <w:r w:rsidR="00EB2C09">
                    <w:rPr>
                      <w:rFonts w:ascii="ae_AlBattar" w:hAnsi="ae_AlBattar" w:cs="ae_AlBattar" w:hint="cs"/>
                      <w:sz w:val="40"/>
                      <w:szCs w:val="40"/>
                      <w:rtl/>
                      <w:lang w:bidi="ar-EG"/>
                    </w:rPr>
                    <w:t>رسالة الماجستير</w:t>
                  </w:r>
                </w:p>
              </w:txbxContent>
            </v:textbox>
          </v:roundrect>
        </w:pict>
      </w:r>
    </w:p>
    <w:p w:rsidR="008722C2" w:rsidRDefault="00CE179F" w:rsidP="00E04496">
      <w:pPr>
        <w:bidi/>
        <w:spacing w:after="14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7C25A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عتبر</w:t>
      </w:r>
      <w:r w:rsidR="00981B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722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</w:t>
      </w:r>
      <w:r w:rsidR="00EC70A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طوطات المصاحف</w:t>
      </w:r>
      <w:r w:rsidR="002D0F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أهم المخطوطات الإسلامية على الإطلاق</w:t>
      </w:r>
      <w:r w:rsidR="00981B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التى </w:t>
      </w:r>
      <w:r w:rsidR="00C25C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</w:t>
      </w:r>
      <w:r w:rsidR="008073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تزال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ميدان</w:t>
      </w:r>
      <w:r w:rsidR="00C25C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خصب</w:t>
      </w:r>
      <w:r w:rsidR="008073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25CC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للفنان المسلم</w:t>
      </w:r>
      <w:r w:rsidR="002B4F4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عبر العصور الإسلامية</w:t>
      </w:r>
      <w:r w:rsidR="00EA662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المختلفة</w:t>
      </w:r>
      <w:r w:rsidR="00C25CC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وقد </w:t>
      </w:r>
      <w:r w:rsidR="005A2A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أبدع</w:t>
      </w:r>
      <w:r w:rsidR="007C25A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5A2A8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2C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هؤلاء الفنانو</w:t>
      </w:r>
      <w:r w:rsidR="003169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فيها</w:t>
      </w:r>
      <w:r w:rsidR="005A2A8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8C2C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أولوها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الرعاية والا</w:t>
      </w:r>
      <w:r w:rsidR="00981B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هتمام</w:t>
      </w:r>
      <w:r w:rsidR="002D0F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8C2C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تعتبر</w:t>
      </w:r>
      <w:r w:rsidR="00A153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المخطوطات</w:t>
      </w:r>
      <w:r w:rsidR="006938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أحد</w:t>
      </w:r>
      <w:r w:rsidR="00445B9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أهم</w:t>
      </w:r>
      <w:r w:rsidR="006938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C70A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فروع </w:t>
      </w:r>
      <w:r w:rsidR="0069383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153C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لفن الإسلامى بشكل عام و</w:t>
      </w:r>
      <w:r w:rsidR="00C25C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فنون الكتاب</w:t>
      </w:r>
      <w:r w:rsidR="00A153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بشكل خاص</w:t>
      </w:r>
      <w:r w:rsidR="000A4BD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436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وعلى الرغم من قيمتها </w:t>
      </w:r>
      <w:r w:rsidR="007B61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الأثرية و</w:t>
      </w:r>
      <w:r w:rsidR="00436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الفنية الكبيرة</w:t>
      </w:r>
      <w:r w:rsidR="000A4BD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فإن </w:t>
      </w:r>
      <w:r w:rsidR="003C43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 w:rsidR="000A4BD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فى هذا المجال</w:t>
      </w:r>
      <w:r w:rsidR="00D57C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93EA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تزال</w:t>
      </w:r>
      <w:r w:rsidR="003C43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A4BD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قليلة.</w:t>
      </w:r>
    </w:p>
    <w:p w:rsidR="0015153C" w:rsidRDefault="00E774F5" w:rsidP="00E04496">
      <w:pPr>
        <w:bidi/>
        <w:spacing w:after="0" w:line="24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9E42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تتناول </w:t>
      </w:r>
      <w:r w:rsidR="001515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الرسالة الحديث </w:t>
      </w:r>
      <w:r w:rsidR="005B5B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لأو</w:t>
      </w:r>
      <w:r w:rsidR="00411420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="005B5BB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 مرة </w:t>
      </w:r>
      <w:r w:rsidR="00766DD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عن </w:t>
      </w:r>
      <w:r w:rsidR="00317B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11181" w:rsidRPr="00317B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مجموعة المصاحف</w:t>
      </w:r>
      <w:r w:rsidR="0015153C" w:rsidRPr="00317B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23938" w:rsidRPr="00317B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التركية والمغربية </w:t>
      </w:r>
      <w:r w:rsidR="0015153C" w:rsidRPr="00317B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المحفوظة</w:t>
      </w:r>
      <w:r w:rsidR="002156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26A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بالمكتبة </w:t>
      </w:r>
      <w:r w:rsidR="00CB063E" w:rsidRPr="00317B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المركزية بجامعة أم القرى</w:t>
      </w:r>
      <w:r w:rsidR="0015153C" w:rsidRPr="00317B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بمكة المكرمة</w:t>
      </w:r>
      <w:r w:rsidR="00025F01" w:rsidRPr="00317B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دراسة أثرية فنية مقارنة</w:t>
      </w:r>
      <w:r w:rsidR="00317B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912A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711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</w:t>
      </w:r>
      <w:r w:rsidR="00396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711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الباحث</w:t>
      </w:r>
      <w:r w:rsidR="00D033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8574B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931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بعمل قاعدة بيانات لهذه المصاحف، ودراستها</w:t>
      </w:r>
      <w:r w:rsidR="00711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دراسة وصفية تسجيل</w:t>
      </w:r>
      <w:r w:rsidR="00D033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11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CB11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11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F68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تطرق</w:t>
      </w:r>
      <w:r w:rsidR="00CB11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فى الحديث </w:t>
      </w:r>
      <w:r w:rsidR="00711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عن أساليبها الفنية 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 بها من ثراء زخرفي</w:t>
      </w:r>
      <w:r w:rsidR="00E1034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جميل</w:t>
      </w:r>
      <w:r w:rsidR="00AA56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1034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</w:t>
      </w:r>
      <w:r w:rsidR="00345C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مقارنتها </w:t>
      </w:r>
      <w:r w:rsidR="006500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 غيرها</w:t>
      </w:r>
      <w:r w:rsidR="00345C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1034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بعدد </w:t>
      </w:r>
      <w:r w:rsidR="00345C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المصاحف</w:t>
      </w:r>
      <w:r w:rsidR="007B761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العالمية</w:t>
      </w:r>
      <w:r w:rsidR="00A93B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فضل</w:t>
      </w:r>
      <w:r w:rsidR="006C5C2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C5C2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قيام</w:t>
      </w:r>
      <w:r w:rsidR="00A93B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الباحث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أيض</w:t>
      </w:r>
      <w:r w:rsidR="00EF68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93B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بتأريخ </w:t>
      </w:r>
      <w:r w:rsidR="009A06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ونسبة </w:t>
      </w:r>
      <w:r w:rsidR="00EF686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المصاحف </w:t>
      </w:r>
      <w:r w:rsidR="00A93B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غير </w:t>
      </w:r>
      <w:r w:rsidR="00EF68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A93B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مؤرخة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="00A811B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المجموعة</w:t>
      </w:r>
      <w:r w:rsidR="009A06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فترات تاريخية متعددة</w:t>
      </w:r>
      <w:r w:rsidR="005647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C222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2D70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C222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2D70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ْ</w:t>
      </w:r>
      <w:r w:rsidR="00C222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2D70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C222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</w:t>
      </w:r>
      <w:r w:rsidR="002D70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C222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اً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5647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ختلاف الأساليب</w:t>
      </w:r>
      <w:r w:rsidR="00CA5B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الخطية و</w:t>
      </w:r>
      <w:r w:rsidR="005647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الفنية والزخرفية</w:t>
      </w:r>
      <w:r w:rsidR="00BF3A9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المستخدمة</w:t>
      </w:r>
      <w:r w:rsidR="005647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بين </w:t>
      </w:r>
      <w:r w:rsidR="00B3467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كلٍ من </w:t>
      </w:r>
      <w:r w:rsidR="005647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المصاحف التركية والمغربية 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5647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المجموعة</w:t>
      </w:r>
      <w:r w:rsidR="00E04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نفسها</w:t>
      </w:r>
      <w:r w:rsidR="005647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E15BCF" w:rsidRPr="00CA4BCD" w:rsidRDefault="00784B89" w:rsidP="00E04496">
      <w:pPr>
        <w:bidi/>
        <w:spacing w:after="0" w:line="240" w:lineRule="auto"/>
        <w:ind w:firstLine="72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0F68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C2A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تتكون</w:t>
      </w:r>
      <w:r w:rsidR="00AB5B3D" w:rsidRPr="000F68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الرسالة </w:t>
      </w:r>
      <w:r w:rsidR="006F40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AB5B3D" w:rsidRPr="000F68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B5B3D" w:rsidRPr="000F68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مجلدين</w:t>
      </w:r>
      <w:r w:rsidR="00AB5B3D" w:rsidRPr="000F68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اثنين، </w:t>
      </w:r>
      <w:r w:rsidR="00AB5B3D" w:rsidRPr="00694E6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المجلد الأول</w:t>
      </w:r>
      <w:r w:rsidR="00FF63E3" w:rsidRPr="00FF63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AB5B3D" w:rsidRPr="00FF63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15BCF" w:rsidRPr="000F68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7361A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يحتوى</w:t>
      </w:r>
      <w:r w:rsidR="00AB5B3D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عل</w:t>
      </w:r>
      <w:r w:rsidR="00575244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ى</w:t>
      </w:r>
      <w:r w:rsidR="00AB5B3D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A30E6B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متن الرسالة</w:t>
      </w:r>
      <w:r w:rsidR="00AB5B3D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وفيه </w:t>
      </w:r>
      <w:r w:rsidR="00E15BCF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قسم</w:t>
      </w:r>
      <w:r w:rsidR="008E05E2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تُ</w:t>
      </w:r>
      <w:r w:rsidR="00E15BCF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575244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موضوع البحث </w:t>
      </w:r>
      <w:r w:rsidR="00E15BCF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إلى </w:t>
      </w:r>
      <w:r w:rsidR="00E15BCF" w:rsidRPr="000F6867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مقدمة</w:t>
      </w:r>
      <w:r w:rsidR="00E15BCF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E15BCF" w:rsidRPr="000F6867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وتمهيد</w:t>
      </w:r>
      <w:r w:rsidR="00250FD6" w:rsidRPr="000F6867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250FD6" w:rsidRPr="000F6867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</w:t>
      </w:r>
      <w:r w:rsidR="00E15BCF" w:rsidRPr="000F6867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ثلاثة أبواب</w:t>
      </w:r>
      <w:r w:rsidR="007572D0" w:rsidRPr="000F68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E05E2" w:rsidRPr="000F68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E05E2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وتشتمل </w:t>
      </w:r>
      <w:r w:rsidR="008E05E2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المقدمة</w:t>
      </w:r>
      <w:r w:rsidR="008E05E2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على أهمية الموضوع وأسباب اختياره </w:t>
      </w:r>
      <w:r w:rsidR="00BD1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وأهداف الدراسة </w:t>
      </w:r>
      <w:r w:rsidR="008E05E2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وإشكالية البحث والدراسات السابقة</w:t>
      </w:r>
      <w:r w:rsidR="00854B5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فى هذا المجال</w:t>
      </w:r>
      <w:r w:rsidR="008E05E2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8E05E2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يشتمل </w:t>
      </w:r>
      <w:r w:rsidR="008E05E2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التمهيد</w:t>
      </w:r>
      <w:r w:rsidR="008E05E2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على</w:t>
      </w:r>
      <w:r w:rsidR="00137F1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C52455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الإطار</w:t>
      </w:r>
      <w:r w:rsidR="0055382A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ين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التاريخي والفني</w:t>
      </w:r>
      <w:r w:rsidR="00C5245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للمصحف</w:t>
      </w:r>
      <w:r w:rsidR="007624F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الشريف</w:t>
      </w:r>
      <w:r w:rsidR="004B31DA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خلال ثلاث</w:t>
      </w:r>
      <w:r w:rsidR="00C5245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B31DA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مراحل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رئيس</w:t>
      </w:r>
      <w:r w:rsidR="00C52455">
        <w:rPr>
          <w:rFonts w:ascii="Simplified Arabic" w:hAnsi="Simplified Arabic" w:cs="Simplified Arabic" w:hint="cs"/>
          <w:sz w:val="26"/>
          <w:szCs w:val="26"/>
          <w:rtl/>
          <w:lang w:bidi="ar-EG"/>
        </w:rPr>
        <w:t>ة</w:t>
      </w:r>
      <w:r w:rsidR="008E05E2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624F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137F15" w:rsidRPr="00137F1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</w:t>
      </w:r>
      <w:r w:rsidR="00FD217C" w:rsidRPr="00137F1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اشتملت</w:t>
      </w:r>
      <w:r w:rsidR="00FD217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أبواب الرسالة الثلاث</w:t>
      </w:r>
      <w:r w:rsidR="00E0449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ة</w:t>
      </w:r>
      <w:r w:rsidR="008E05E2" w:rsidRPr="000F6867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E15BCF" w:rsidRPr="000F6867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على عدة فصول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حيث :</w:t>
      </w:r>
      <w:r w:rsidR="00DD2731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يتناول </w:t>
      </w:r>
      <w:r w:rsidR="00E15BCF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الباب الأول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الحديث عن الدراسة التسجيلية</w:t>
      </w:r>
      <w:r w:rsidR="00334B24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334B24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الوصفية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لمجموعة المصاحف التركية والمغربية، </w:t>
      </w:r>
      <w:r w:rsidR="00A62F11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وفيه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E15BCF" w:rsidRPr="007345D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ثلاثة فصول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9778B1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هى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</w:t>
      </w:r>
      <w:r w:rsidR="00E15BCF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الفصل الأول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الدراسة </w:t>
      </w:r>
      <w:r w:rsidR="00030CDC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التسجيلية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لمجموعة المصاحف التركية الموقعة والمؤرخة، </w:t>
      </w:r>
      <w:r w:rsidR="00E15BCF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والفصل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E15BCF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الثان</w:t>
      </w:r>
      <w:r w:rsidR="00292FE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ي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الدراسة </w:t>
      </w:r>
      <w:r w:rsidR="00030CDC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التسجيلية</w:t>
      </w:r>
      <w:r w:rsidR="00B95B7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لمجموعة المصاحف التركية 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غير </w:t>
      </w:r>
      <w:r w:rsidR="00B95B75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مؤرخة، </w:t>
      </w:r>
      <w:r w:rsidR="00424628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والفصل الثالث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</w:t>
      </w:r>
      <w:r w:rsidR="00DE636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الدراسة التسجيلية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DE636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لمصاحف المغربية.</w:t>
      </w:r>
      <w:r w:rsidR="003830B5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يتناول </w:t>
      </w:r>
      <w:r w:rsidR="00E15BCF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الباب الثان</w:t>
      </w:r>
      <w:r w:rsidR="00E0449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ي</w:t>
      </w:r>
      <w:r w:rsidR="004F3610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</w:t>
      </w:r>
      <w:r w:rsidR="00E15BCF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الحديث عن الأساليب</w:t>
      </w:r>
      <w:r w:rsidR="009B4A6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الخطية و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0F298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فنية لمجموعة مصاحف الدراسة، ويش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مل </w:t>
      </w:r>
      <w:r w:rsidR="009B4A6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خمسة</w:t>
      </w:r>
      <w:r w:rsidR="00424628" w:rsidRPr="007345D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فصول</w:t>
      </w:r>
      <w:r w:rsidR="00041EE1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هى: </w:t>
      </w:r>
      <w:r w:rsidR="00424628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الفصل الأول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أنواع الخطوط وتوقيعات الخطاطين </w:t>
      </w:r>
      <w:r w:rsidR="008A20A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وخصائصهم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الفنية</w:t>
      </w:r>
      <w:r w:rsidR="009B4A6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فى المصاحف التركية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292FE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الفصل الثاني</w:t>
      </w:r>
      <w:r w:rsidR="009B4A6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: </w:t>
      </w:r>
      <w:r w:rsidR="009B4A65" w:rsidRPr="009B4A6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أنواع الخطوط وتوقيعات الخطاطين </w:t>
      </w:r>
      <w:r w:rsidR="008A20A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وخصائ</w:t>
      </w:r>
      <w:r w:rsidR="00BF775A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</w:t>
      </w:r>
      <w:r w:rsidR="008A20A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هم</w:t>
      </w:r>
      <w:r w:rsidR="009B4A65" w:rsidRPr="009B4A6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الفنية فى المصاحف المغربية</w:t>
      </w:r>
      <w:r w:rsidR="009B4A6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،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24628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الفصل </w:t>
      </w:r>
      <w:r w:rsidR="009B4A6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الثالث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: دراسة ا</w:t>
      </w:r>
      <w:r w:rsidR="009B4A65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لألقاب والعبارات الدعائية وطرق النسخ الواردة فى</w:t>
      </w:r>
      <w:r w:rsidR="00BC021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صيغ توقيعات</w:t>
      </w:r>
      <w:r w:rsidR="002908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BC0215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الخطاطين</w:t>
      </w:r>
      <w:r w:rsidR="009B4A6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9B4A65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الفصل </w:t>
      </w:r>
      <w:r w:rsidR="009B4A6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الرابع:</w:t>
      </w:r>
      <w:r w:rsidR="009B4A6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الأساليب الفنية لطرق التجليد بمصاحف المجموعة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424628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والفصل </w:t>
      </w:r>
      <w:r w:rsidR="009B4A6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الخامس:</w:t>
      </w:r>
      <w:r w:rsidR="00182457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الحديث عن أدوات الكتابة ( الأقلام</w:t>
      </w:r>
      <w:r w:rsidR="00424628" w:rsidRPr="00CA4BCD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الأحبار </w:t>
      </w:r>
      <w:r w:rsidR="00424628" w:rsidRPr="00CA4BCD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الألوان - الورق)، </w:t>
      </w:r>
      <w:r w:rsidR="00182457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بينما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خ</w:t>
      </w:r>
      <w:r w:rsidR="008A058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َ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</w:t>
      </w:r>
      <w:r w:rsidR="008A058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َ</w:t>
      </w:r>
      <w:r w:rsidR="008A0583">
        <w:rPr>
          <w:rFonts w:ascii="Simplified Arabic" w:hAnsi="Simplified Arabic" w:cs="Simplified Arabic"/>
          <w:sz w:val="26"/>
          <w:szCs w:val="26"/>
          <w:rtl/>
          <w:lang w:bidi="ar-EG"/>
        </w:rPr>
        <w:t>ّ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صت</w:t>
      </w:r>
      <w:r w:rsidR="007572D0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ُ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24628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الباب الثالث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16785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 ا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لدراسة التحليلية المقارنة للأساليب</w:t>
      </w:r>
      <w:r w:rsidR="00121849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والعناصر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الزخرفية بمجموعة الدراسة، ويشتمل هذا الباب على </w:t>
      </w:r>
      <w:r w:rsidR="0012184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أربعة فصول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716785" w:rsidRPr="0071678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الفصل</w:t>
      </w:r>
      <w:r w:rsidR="0071678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424628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الأول</w:t>
      </w:r>
      <w:r w:rsidR="00716785">
        <w:rPr>
          <w:rFonts w:ascii="Simplified Arabic" w:hAnsi="Simplified Arabic" w:cs="Simplified Arabic" w:hint="cs"/>
          <w:sz w:val="26"/>
          <w:szCs w:val="26"/>
          <w:rtl/>
          <w:lang w:bidi="ar-EG"/>
        </w:rPr>
        <w:t>:</w:t>
      </w:r>
      <w:r w:rsidR="00F228D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716785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مواضع التذهيب 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وأساليب تنفيذه، </w:t>
      </w:r>
      <w:r w:rsidR="00E0449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الفصل الثاني</w:t>
      </w:r>
      <w:r w:rsidR="0012184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:</w:t>
      </w:r>
      <w:r w:rsidR="00716785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الموضوع الفني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وعناصره الزخرفية</w:t>
      </w:r>
      <w:r w:rsidR="00121849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فى المصاحف التركية، </w:t>
      </w:r>
      <w:r w:rsidR="00121849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الفصل </w:t>
      </w:r>
      <w:r w:rsidR="0012184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الثالث: 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الموضوع الفني</w:t>
      </w:r>
      <w:r w:rsidR="00121849" w:rsidRPr="00121849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وعناصره الزخرفية فى المصاحف المغربية</w:t>
      </w:r>
      <w:r w:rsidR="0012184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، </w:t>
      </w:r>
      <w:r w:rsidR="00121849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الفصل </w:t>
      </w:r>
      <w:r w:rsidR="0012184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الرابع: </w:t>
      </w:r>
      <w:r w:rsidR="00121849" w:rsidRPr="00121849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دراسة مقارنة </w:t>
      </w:r>
      <w:r w:rsidR="00F07CF8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يبن مواضع الزخرفة فى</w:t>
      </w:r>
      <w:r w:rsidR="00121849" w:rsidRPr="00121849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المصاحف التركية والمغربية</w:t>
      </w:r>
      <w:r w:rsidR="00424628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="00B33EA3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ثم </w:t>
      </w:r>
      <w:r w:rsidR="0024776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تُختتم</w:t>
      </w:r>
      <w:r w:rsidR="00745BC0" w:rsidRPr="00CA4B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الرسالة</w:t>
      </w:r>
      <w:r w:rsidR="00247763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</w:t>
      </w:r>
      <w:r w:rsidR="003A7272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نتائج البحث والتوصيات</w:t>
      </w:r>
      <w:r w:rsidR="00B33EA3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ثم ملاحق الرسالة، ثم قائمة المصادر والمراجع، </w:t>
      </w:r>
      <w:r w:rsidR="00E0449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و</w:t>
      </w:r>
      <w:r w:rsidR="00B33EA3" w:rsidRPr="00694E6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يحتو</w:t>
      </w:r>
      <w:r w:rsidR="00E0449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ي</w:t>
      </w:r>
      <w:r w:rsidR="00B33EA3" w:rsidRPr="00694E66">
        <w:rPr>
          <w:rFonts w:ascii="Simplified Arabic" w:hAnsi="Simplified Arabic" w:cs="Simplified Arabic" w:hint="cs"/>
          <w:sz w:val="26"/>
          <w:szCs w:val="26"/>
          <w:u w:val="single"/>
          <w:rtl/>
          <w:lang w:bidi="ar-EG"/>
        </w:rPr>
        <w:t xml:space="preserve"> </w:t>
      </w:r>
      <w:r w:rsidR="00B33EA3" w:rsidRPr="00694E6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المجلد الثانى</w:t>
      </w:r>
      <w:r w:rsidR="00745BC0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B33EA3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 الرسالة على </w:t>
      </w:r>
      <w:r w:rsidR="00745BC0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فهرس </w:t>
      </w:r>
      <w:r w:rsidR="00B33EA3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كتالوج الأشكال واللوحات</w:t>
      </w:r>
      <w:r w:rsidR="007B745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745BC0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ثم كتالوج الأشكال واللوحات</w:t>
      </w:r>
      <w:r w:rsidR="000F099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الذى</w:t>
      </w:r>
      <w:r w:rsidR="007A4CDD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يُ</w:t>
      </w:r>
      <w:r w:rsidR="005A305B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نشر 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نشر</w:t>
      </w:r>
      <w:r w:rsidR="00D122F5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 علمي</w:t>
      </w:r>
      <w:r w:rsidR="00D122F5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</w:t>
      </w:r>
      <w:r w:rsidR="00D122F5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5A305B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لأول مرة</w:t>
      </w:r>
      <w:r w:rsidR="00D122F5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="005A305B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بالإضافة إلى تضمين هذا الكتالوج </w:t>
      </w:r>
      <w:r w:rsidR="00E0449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عددًا</w:t>
      </w:r>
      <w:r w:rsidR="005A305B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صور المصاحف المحفوظة فى مكتبات عالمية ولا سيما </w:t>
      </w:r>
      <w:r w:rsidR="0024776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مكتبات</w:t>
      </w:r>
      <w:r w:rsidR="00570936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مدينة فلورنسا ب</w:t>
      </w:r>
      <w:r w:rsidR="0024776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إيطاليا</w:t>
      </w:r>
      <w:r w:rsidR="005A305B" w:rsidRPr="00CA4B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</w:p>
    <w:sectPr w:rsidR="00E15BCF" w:rsidRPr="00CA4BCD" w:rsidSect="006C02EF">
      <w:headerReference w:type="default" r:id="rId6"/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3AF" w:rsidRDefault="002173AF" w:rsidP="00663C2A">
      <w:pPr>
        <w:spacing w:after="0" w:line="240" w:lineRule="auto"/>
      </w:pPr>
      <w:r>
        <w:separator/>
      </w:r>
    </w:p>
  </w:endnote>
  <w:endnote w:type="continuationSeparator" w:id="1">
    <w:p w:rsidR="002173AF" w:rsidRDefault="002173AF" w:rsidP="0066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3AF" w:rsidRDefault="002173AF" w:rsidP="00663C2A">
      <w:pPr>
        <w:spacing w:after="0" w:line="240" w:lineRule="auto"/>
      </w:pPr>
      <w:r>
        <w:separator/>
      </w:r>
    </w:p>
  </w:footnote>
  <w:footnote w:type="continuationSeparator" w:id="1">
    <w:p w:rsidR="002173AF" w:rsidRDefault="002173AF" w:rsidP="0066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5E" w:rsidRDefault="000C3A5E">
    <w:pPr>
      <w:pStyle w:val="Header"/>
      <w:rPr>
        <w:lang w:bidi="ar-EG"/>
      </w:rPr>
    </w:pPr>
    <w:r>
      <w:rPr>
        <w:rFonts w:hint="cs"/>
        <w:rtl/>
        <w:lang w:bidi="ar-EG"/>
      </w:rPr>
      <w:softHyphen/>
    </w:r>
    <w:r>
      <w:rPr>
        <w:rFonts w:hint="cs"/>
        <w:rtl/>
        <w:lang w:bidi="ar-EG"/>
      </w:rPr>
      <w:softHyphen/>
    </w:r>
    <w:r>
      <w:rPr>
        <w:rFonts w:hint="cs"/>
        <w:rtl/>
        <w:lang w:bidi="ar-EG"/>
      </w:rPr>
      <w:softHyphen/>
    </w:r>
    <w:r w:rsidR="00396047" w:rsidRPr="00396047">
      <w:rPr>
        <w:rFonts w:asciiTheme="minorBidi" w:hAnsiTheme="minorBidi"/>
        <w:b/>
        <w:bCs/>
        <w:u w:val="single"/>
        <w:rtl/>
        <w:lang w:bidi="ar-EG"/>
      </w:rPr>
      <w:t>___________________________________________________________________</w:t>
    </w:r>
    <w:r w:rsidR="00396047">
      <w:rPr>
        <w:rFonts w:hint="cs"/>
        <w:rtl/>
        <w:lang w:bidi="ar-EG"/>
      </w:rPr>
      <w:t xml:space="preserve"> ملخص الرسالة</w:t>
    </w:r>
    <w:r>
      <w:rPr>
        <w:rFonts w:hint="cs"/>
        <w:vanish/>
        <w:rtl/>
        <w:lang w:bidi="ar-EG"/>
      </w:rPr>
      <w:t>نما:رسالةام الحديث فى جميل معلمصاحف الغير مؤرخة إستنا</w:t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  <w:r>
      <w:rPr>
        <w:rFonts w:hint="cs"/>
        <w:vanish/>
        <w:rtl/>
        <w:lang w:bidi="ar-EG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902"/>
    <w:rsid w:val="00025856"/>
    <w:rsid w:val="00025F01"/>
    <w:rsid w:val="00030CDC"/>
    <w:rsid w:val="00041EE1"/>
    <w:rsid w:val="00085182"/>
    <w:rsid w:val="000A4BD4"/>
    <w:rsid w:val="000B063F"/>
    <w:rsid w:val="000C3A5E"/>
    <w:rsid w:val="000F099B"/>
    <w:rsid w:val="000F298D"/>
    <w:rsid w:val="000F6867"/>
    <w:rsid w:val="00121849"/>
    <w:rsid w:val="00137F15"/>
    <w:rsid w:val="0015153C"/>
    <w:rsid w:val="00170DD4"/>
    <w:rsid w:val="00182457"/>
    <w:rsid w:val="00193EAC"/>
    <w:rsid w:val="001C423A"/>
    <w:rsid w:val="001E4B36"/>
    <w:rsid w:val="001F1EB7"/>
    <w:rsid w:val="00215687"/>
    <w:rsid w:val="002173AF"/>
    <w:rsid w:val="002335E0"/>
    <w:rsid w:val="00237722"/>
    <w:rsid w:val="00247763"/>
    <w:rsid w:val="00250FD6"/>
    <w:rsid w:val="00275C30"/>
    <w:rsid w:val="00290858"/>
    <w:rsid w:val="00292FE4"/>
    <w:rsid w:val="002B4F46"/>
    <w:rsid w:val="002B7816"/>
    <w:rsid w:val="002D0FB3"/>
    <w:rsid w:val="002D32F6"/>
    <w:rsid w:val="002D7042"/>
    <w:rsid w:val="002F72F9"/>
    <w:rsid w:val="003169E9"/>
    <w:rsid w:val="00317B43"/>
    <w:rsid w:val="00334B24"/>
    <w:rsid w:val="00335DC8"/>
    <w:rsid w:val="00340BCD"/>
    <w:rsid w:val="00345C5A"/>
    <w:rsid w:val="00354B5F"/>
    <w:rsid w:val="003710FB"/>
    <w:rsid w:val="0037361A"/>
    <w:rsid w:val="003737D9"/>
    <w:rsid w:val="00373D6A"/>
    <w:rsid w:val="003830B5"/>
    <w:rsid w:val="00396047"/>
    <w:rsid w:val="0039616A"/>
    <w:rsid w:val="003A7272"/>
    <w:rsid w:val="003B0902"/>
    <w:rsid w:val="003C4318"/>
    <w:rsid w:val="003C4826"/>
    <w:rsid w:val="003E2013"/>
    <w:rsid w:val="003E2660"/>
    <w:rsid w:val="00407D6E"/>
    <w:rsid w:val="00411420"/>
    <w:rsid w:val="00423658"/>
    <w:rsid w:val="00424628"/>
    <w:rsid w:val="00432B53"/>
    <w:rsid w:val="00436A24"/>
    <w:rsid w:val="00445B9E"/>
    <w:rsid w:val="00456B5F"/>
    <w:rsid w:val="004B31DA"/>
    <w:rsid w:val="004B79D2"/>
    <w:rsid w:val="004D34A4"/>
    <w:rsid w:val="004F3610"/>
    <w:rsid w:val="0055382A"/>
    <w:rsid w:val="005647EC"/>
    <w:rsid w:val="00570936"/>
    <w:rsid w:val="00575244"/>
    <w:rsid w:val="005A2A8D"/>
    <w:rsid w:val="005A305B"/>
    <w:rsid w:val="005B088D"/>
    <w:rsid w:val="005B5BB4"/>
    <w:rsid w:val="005B77BA"/>
    <w:rsid w:val="005F29EE"/>
    <w:rsid w:val="005F623C"/>
    <w:rsid w:val="006032D9"/>
    <w:rsid w:val="00646CA5"/>
    <w:rsid w:val="00650026"/>
    <w:rsid w:val="00663C2A"/>
    <w:rsid w:val="00671C10"/>
    <w:rsid w:val="00693218"/>
    <w:rsid w:val="00693836"/>
    <w:rsid w:val="00694E66"/>
    <w:rsid w:val="006A657B"/>
    <w:rsid w:val="006C02EF"/>
    <w:rsid w:val="006C5C27"/>
    <w:rsid w:val="006E4217"/>
    <w:rsid w:val="006F40EB"/>
    <w:rsid w:val="007112BF"/>
    <w:rsid w:val="00716785"/>
    <w:rsid w:val="00731CF9"/>
    <w:rsid w:val="007345D8"/>
    <w:rsid w:val="00745BC0"/>
    <w:rsid w:val="007572D0"/>
    <w:rsid w:val="007624F2"/>
    <w:rsid w:val="00766DD3"/>
    <w:rsid w:val="00784B89"/>
    <w:rsid w:val="007A4CDD"/>
    <w:rsid w:val="007B61B8"/>
    <w:rsid w:val="007B7457"/>
    <w:rsid w:val="007B7613"/>
    <w:rsid w:val="007C25AA"/>
    <w:rsid w:val="007D33E6"/>
    <w:rsid w:val="007D6519"/>
    <w:rsid w:val="0080488F"/>
    <w:rsid w:val="008073EC"/>
    <w:rsid w:val="008132B9"/>
    <w:rsid w:val="0085413A"/>
    <w:rsid w:val="00854B55"/>
    <w:rsid w:val="008574B6"/>
    <w:rsid w:val="0086758F"/>
    <w:rsid w:val="008722C2"/>
    <w:rsid w:val="008A0583"/>
    <w:rsid w:val="008A20AB"/>
    <w:rsid w:val="008B07BB"/>
    <w:rsid w:val="008C005D"/>
    <w:rsid w:val="008C2C98"/>
    <w:rsid w:val="008E05E2"/>
    <w:rsid w:val="00911181"/>
    <w:rsid w:val="00912AFD"/>
    <w:rsid w:val="009778B1"/>
    <w:rsid w:val="009805FA"/>
    <w:rsid w:val="00981B7A"/>
    <w:rsid w:val="009910F2"/>
    <w:rsid w:val="00994059"/>
    <w:rsid w:val="009A06DC"/>
    <w:rsid w:val="009B4A65"/>
    <w:rsid w:val="009C23F0"/>
    <w:rsid w:val="009C23F1"/>
    <w:rsid w:val="009E42CF"/>
    <w:rsid w:val="009F104E"/>
    <w:rsid w:val="00A153CF"/>
    <w:rsid w:val="00A251CC"/>
    <w:rsid w:val="00A2607B"/>
    <w:rsid w:val="00A30E6B"/>
    <w:rsid w:val="00A35DED"/>
    <w:rsid w:val="00A62F11"/>
    <w:rsid w:val="00A67B32"/>
    <w:rsid w:val="00A76BD6"/>
    <w:rsid w:val="00A811B1"/>
    <w:rsid w:val="00A814ED"/>
    <w:rsid w:val="00A92627"/>
    <w:rsid w:val="00A93B7A"/>
    <w:rsid w:val="00AA21B7"/>
    <w:rsid w:val="00AA569D"/>
    <w:rsid w:val="00AB5B3D"/>
    <w:rsid w:val="00AC38E6"/>
    <w:rsid w:val="00B1312A"/>
    <w:rsid w:val="00B33EA3"/>
    <w:rsid w:val="00B3467D"/>
    <w:rsid w:val="00B37B07"/>
    <w:rsid w:val="00B5177A"/>
    <w:rsid w:val="00B67619"/>
    <w:rsid w:val="00B7346A"/>
    <w:rsid w:val="00B800B4"/>
    <w:rsid w:val="00B836DC"/>
    <w:rsid w:val="00B931DC"/>
    <w:rsid w:val="00B95B75"/>
    <w:rsid w:val="00BC0215"/>
    <w:rsid w:val="00BC1C76"/>
    <w:rsid w:val="00BC4111"/>
    <w:rsid w:val="00BD1EC3"/>
    <w:rsid w:val="00BF3A9F"/>
    <w:rsid w:val="00BF775A"/>
    <w:rsid w:val="00C01AB5"/>
    <w:rsid w:val="00C03811"/>
    <w:rsid w:val="00C22264"/>
    <w:rsid w:val="00C23938"/>
    <w:rsid w:val="00C25CC2"/>
    <w:rsid w:val="00C336F1"/>
    <w:rsid w:val="00C52455"/>
    <w:rsid w:val="00C81AA1"/>
    <w:rsid w:val="00CA4BCD"/>
    <w:rsid w:val="00CA5B6B"/>
    <w:rsid w:val="00CB063E"/>
    <w:rsid w:val="00CB11D0"/>
    <w:rsid w:val="00CD5B2A"/>
    <w:rsid w:val="00CE179F"/>
    <w:rsid w:val="00CE6438"/>
    <w:rsid w:val="00D03344"/>
    <w:rsid w:val="00D06E19"/>
    <w:rsid w:val="00D122F5"/>
    <w:rsid w:val="00D32E1F"/>
    <w:rsid w:val="00D367E0"/>
    <w:rsid w:val="00D57CBD"/>
    <w:rsid w:val="00D76F29"/>
    <w:rsid w:val="00DA07D0"/>
    <w:rsid w:val="00DA73E4"/>
    <w:rsid w:val="00DC2179"/>
    <w:rsid w:val="00DC2897"/>
    <w:rsid w:val="00DD2731"/>
    <w:rsid w:val="00DE636D"/>
    <w:rsid w:val="00E04037"/>
    <w:rsid w:val="00E04496"/>
    <w:rsid w:val="00E1034F"/>
    <w:rsid w:val="00E15BCF"/>
    <w:rsid w:val="00E21352"/>
    <w:rsid w:val="00E402AF"/>
    <w:rsid w:val="00E451CC"/>
    <w:rsid w:val="00E774F5"/>
    <w:rsid w:val="00EA09D4"/>
    <w:rsid w:val="00EA2D5D"/>
    <w:rsid w:val="00EA662A"/>
    <w:rsid w:val="00EB2C09"/>
    <w:rsid w:val="00EC70AC"/>
    <w:rsid w:val="00EE436C"/>
    <w:rsid w:val="00EF6862"/>
    <w:rsid w:val="00F07CF8"/>
    <w:rsid w:val="00F228DC"/>
    <w:rsid w:val="00F26AC0"/>
    <w:rsid w:val="00F70D27"/>
    <w:rsid w:val="00F7663B"/>
    <w:rsid w:val="00FA654D"/>
    <w:rsid w:val="00FC2A61"/>
    <w:rsid w:val="00FC6C45"/>
    <w:rsid w:val="00FD217C"/>
    <w:rsid w:val="00FF29D9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C2A"/>
  </w:style>
  <w:style w:type="paragraph" w:styleId="Footer">
    <w:name w:val="footer"/>
    <w:basedOn w:val="Normal"/>
    <w:link w:val="FooterChar"/>
    <w:uiPriority w:val="99"/>
    <w:semiHidden/>
    <w:unhideWhenUsed/>
    <w:rsid w:val="006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ghole</dc:creator>
  <cp:keywords/>
  <dc:description/>
  <cp:lastModifiedBy>El-Ghoul</cp:lastModifiedBy>
  <cp:revision>90</cp:revision>
  <cp:lastPrinted>2013-11-06T19:58:00Z</cp:lastPrinted>
  <dcterms:created xsi:type="dcterms:W3CDTF">2013-08-13T18:54:00Z</dcterms:created>
  <dcterms:modified xsi:type="dcterms:W3CDTF">2018-09-02T13:26:00Z</dcterms:modified>
</cp:coreProperties>
</file>