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C1E" w:rsidRPr="007D2857" w:rsidRDefault="002B2C1E" w:rsidP="002B2C1E">
      <w:pPr>
        <w:jc w:val="center"/>
        <w:rPr>
          <w:rFonts w:ascii="ae_AlMothnna" w:hAnsi="ae_AlMothnna" w:cs="ae_AlMothnna"/>
          <w:b/>
          <w:bCs/>
          <w:sz w:val="30"/>
          <w:szCs w:val="30"/>
          <w:rtl/>
          <w:lang w:bidi="ar-EG"/>
        </w:rPr>
      </w:pPr>
      <w:r w:rsidRPr="007D2857">
        <w:rPr>
          <w:rFonts w:ascii="ae_AlMothnna" w:hAnsi="ae_AlMothnna" w:cs="ae_AlMothnna"/>
          <w:b/>
          <w:bCs/>
          <w:sz w:val="30"/>
          <w:szCs w:val="30"/>
          <w:rtl/>
          <w:lang w:bidi="ar-EG"/>
        </w:rPr>
        <w:t>المؤتمر الدولي الأول</w:t>
      </w:r>
      <w:r w:rsidRPr="007D2857">
        <w:rPr>
          <w:rFonts w:ascii="ae_AlMothnna" w:hAnsi="ae_AlMothnna" w:cs="ae_AlMothnna" w:hint="cs"/>
          <w:b/>
          <w:bCs/>
          <w:sz w:val="30"/>
          <w:szCs w:val="30"/>
          <w:rtl/>
          <w:lang w:bidi="ar-EG"/>
        </w:rPr>
        <w:t>:</w:t>
      </w:r>
      <w:r w:rsidRPr="007D2857">
        <w:rPr>
          <w:rFonts w:ascii="ae_AlMothnna" w:hAnsi="ae_AlMothnna" w:cs="ae_AlMothnna"/>
          <w:b/>
          <w:bCs/>
          <w:sz w:val="28"/>
          <w:szCs w:val="28"/>
          <w:rtl/>
          <w:lang w:bidi="ar-EG"/>
        </w:rPr>
        <w:t xml:space="preserve"> المواقع الأثرية والمجموعات المتحفية: القيم والمشاكل والحلول</w:t>
      </w:r>
      <w:r w:rsidRPr="007D2857">
        <w:rPr>
          <w:rFonts w:ascii="ae_AlMothnna" w:hAnsi="ae_AlMothnna" w:cs="ae_AlMothnna" w:hint="cs"/>
          <w:b/>
          <w:bCs/>
          <w:sz w:val="28"/>
          <w:szCs w:val="28"/>
          <w:rtl/>
          <w:lang w:bidi="ar-EG"/>
        </w:rPr>
        <w:t>،</w:t>
      </w:r>
      <w:r w:rsidRPr="007D2857">
        <w:rPr>
          <w:rFonts w:ascii="ae_AlMothnna" w:hAnsi="ae_AlMothnna" w:cs="ae_AlMothnna" w:hint="cs"/>
          <w:b/>
          <w:bCs/>
          <w:sz w:val="30"/>
          <w:szCs w:val="30"/>
          <w:rtl/>
          <w:lang w:bidi="ar-EG"/>
        </w:rPr>
        <w:t xml:space="preserve"> </w:t>
      </w:r>
      <w:r w:rsidRPr="007D2857">
        <w:rPr>
          <w:rFonts w:ascii="ae_AlMothnna" w:hAnsi="ae_AlMothnna" w:cs="ae_AlMothnna"/>
          <w:b/>
          <w:bCs/>
          <w:sz w:val="28"/>
          <w:szCs w:val="28"/>
          <w:rtl/>
          <w:lang w:bidi="ar-EG"/>
        </w:rPr>
        <w:t>في الفترة من 21-24 أكتوبر 2015 يكليـة الآثار – جامعة</w:t>
      </w:r>
      <w:r w:rsidRPr="007D2857">
        <w:rPr>
          <w:rFonts w:ascii="ae_AlMothnna" w:hAnsi="ae_AlMothnna" w:cs="ae_AlMothnna" w:hint="cs"/>
          <w:b/>
          <w:bCs/>
          <w:sz w:val="28"/>
          <w:szCs w:val="28"/>
          <w:rtl/>
          <w:lang w:bidi="ar-EG"/>
        </w:rPr>
        <w:t xml:space="preserve"> </w:t>
      </w:r>
      <w:r w:rsidRPr="007D2857">
        <w:rPr>
          <w:rFonts w:ascii="ae_AlMothnna" w:hAnsi="ae_AlMothnna" w:cs="ae_AlMothnna"/>
          <w:b/>
          <w:bCs/>
          <w:sz w:val="28"/>
          <w:szCs w:val="28"/>
          <w:rtl/>
          <w:lang w:bidi="ar-EG"/>
        </w:rPr>
        <w:t>القاهرة</w:t>
      </w:r>
    </w:p>
    <w:p w:rsidR="002B2C1E" w:rsidRPr="007D2857" w:rsidRDefault="002B2C1E" w:rsidP="002B2C1E">
      <w:pPr>
        <w:jc w:val="center"/>
        <w:rPr>
          <w:rFonts w:ascii="Simplified Arabic" w:hAnsi="Simplified Arabic" w:cs="Simplified Arabic"/>
          <w:b/>
          <w:bCs/>
          <w:sz w:val="30"/>
          <w:szCs w:val="30"/>
          <w:rtl/>
          <w:lang w:bidi="ar-EG"/>
        </w:rPr>
      </w:pPr>
      <w:r w:rsidRPr="007D2857">
        <w:rPr>
          <w:rFonts w:ascii="Simplified Arabic" w:hAnsi="Simplified Arabic" w:cs="Simplified Arabic" w:hint="cs"/>
          <w:b/>
          <w:bCs/>
          <w:sz w:val="30"/>
          <w:szCs w:val="30"/>
          <w:rtl/>
          <w:lang w:bidi="ar-EG"/>
        </w:rPr>
        <w:t xml:space="preserve">بحث موسوم بــ "دراسة أثرية فنية لمصحف إيراني نادر يُنشر لأول مرة </w:t>
      </w:r>
    </w:p>
    <w:p w:rsidR="002B2C1E" w:rsidRPr="007D2857" w:rsidRDefault="002B2C1E" w:rsidP="00F57829">
      <w:pPr>
        <w:jc w:val="center"/>
        <w:rPr>
          <w:rFonts w:ascii="Simplified Arabic" w:hAnsi="Simplified Arabic" w:cs="Simplified Arabic"/>
          <w:b/>
          <w:bCs/>
          <w:sz w:val="30"/>
          <w:szCs w:val="30"/>
          <w:rtl/>
          <w:lang w:bidi="ar-EG"/>
        </w:rPr>
      </w:pPr>
      <w:r w:rsidRPr="007D2857">
        <w:rPr>
          <w:rFonts w:ascii="Simplified Arabic" w:hAnsi="Simplified Arabic" w:cs="Simplified Arabic" w:hint="cs"/>
          <w:b/>
          <w:bCs/>
          <w:sz w:val="30"/>
          <w:szCs w:val="30"/>
          <w:rtl/>
          <w:lang w:bidi="ar-EG"/>
        </w:rPr>
        <w:t>محفوظ بمتحف الفن الإسلامي بالقاهرة"</w:t>
      </w:r>
    </w:p>
    <w:p w:rsidR="002B2C1E" w:rsidRPr="007D2857" w:rsidRDefault="002B2C1E" w:rsidP="00DB3708">
      <w:pPr>
        <w:jc w:val="center"/>
        <w:rPr>
          <w:rFonts w:ascii="Simplified Arabic" w:hAnsi="Simplified Arabic" w:cs="Simplified Arabic" w:hint="cs"/>
          <w:b/>
          <w:bCs/>
          <w:sz w:val="30"/>
          <w:szCs w:val="30"/>
          <w:rtl/>
          <w:lang w:bidi="ar-EG"/>
        </w:rPr>
      </w:pPr>
      <w:r w:rsidRPr="007D2857">
        <w:rPr>
          <w:rFonts w:ascii="Simplified Arabic" w:hAnsi="Simplified Arabic" w:cs="Simplified Arabic" w:hint="cs"/>
          <w:b/>
          <w:bCs/>
          <w:sz w:val="30"/>
          <w:szCs w:val="30"/>
          <w:rtl/>
          <w:lang w:bidi="ar-EG"/>
        </w:rPr>
        <w:t xml:space="preserve"> </w:t>
      </w:r>
      <w:r>
        <w:rPr>
          <w:rFonts w:ascii="Simplified Arabic" w:hAnsi="Simplified Arabic" w:cs="Simplified Arabic" w:hint="cs"/>
          <w:b/>
          <w:bCs/>
          <w:sz w:val="30"/>
          <w:szCs w:val="30"/>
          <w:rtl/>
          <w:lang w:bidi="ar-EG"/>
        </w:rPr>
        <w:tab/>
      </w:r>
      <w:r>
        <w:rPr>
          <w:rFonts w:ascii="Simplified Arabic" w:hAnsi="Simplified Arabic" w:cs="Simplified Arabic" w:hint="cs"/>
          <w:b/>
          <w:bCs/>
          <w:sz w:val="30"/>
          <w:szCs w:val="30"/>
          <w:rtl/>
          <w:lang w:bidi="ar-EG"/>
        </w:rPr>
        <w:tab/>
      </w:r>
      <w:r>
        <w:rPr>
          <w:rFonts w:ascii="Simplified Arabic" w:hAnsi="Simplified Arabic" w:cs="Simplified Arabic" w:hint="cs"/>
          <w:b/>
          <w:bCs/>
          <w:sz w:val="30"/>
          <w:szCs w:val="30"/>
          <w:rtl/>
          <w:lang w:bidi="ar-EG"/>
        </w:rPr>
        <w:tab/>
      </w:r>
      <w:r>
        <w:rPr>
          <w:rFonts w:ascii="Simplified Arabic" w:hAnsi="Simplified Arabic" w:cs="Simplified Arabic" w:hint="cs"/>
          <w:b/>
          <w:bCs/>
          <w:sz w:val="30"/>
          <w:szCs w:val="30"/>
          <w:rtl/>
          <w:lang w:bidi="ar-EG"/>
        </w:rPr>
        <w:tab/>
      </w:r>
      <w:r>
        <w:rPr>
          <w:rFonts w:ascii="Simplified Arabic" w:hAnsi="Simplified Arabic" w:cs="Simplified Arabic" w:hint="cs"/>
          <w:b/>
          <w:bCs/>
          <w:sz w:val="30"/>
          <w:szCs w:val="30"/>
          <w:rtl/>
          <w:lang w:bidi="ar-EG"/>
        </w:rPr>
        <w:tab/>
      </w:r>
      <w:r>
        <w:rPr>
          <w:rFonts w:ascii="Simplified Arabic" w:hAnsi="Simplified Arabic" w:cs="Simplified Arabic" w:hint="cs"/>
          <w:b/>
          <w:bCs/>
          <w:sz w:val="30"/>
          <w:szCs w:val="30"/>
          <w:rtl/>
          <w:lang w:bidi="ar-EG"/>
        </w:rPr>
        <w:tab/>
      </w:r>
      <w:r>
        <w:rPr>
          <w:rFonts w:ascii="Simplified Arabic" w:hAnsi="Simplified Arabic" w:cs="Simplified Arabic" w:hint="cs"/>
          <w:b/>
          <w:bCs/>
          <w:sz w:val="30"/>
          <w:szCs w:val="30"/>
          <w:rtl/>
          <w:lang w:bidi="ar-EG"/>
        </w:rPr>
        <w:tab/>
      </w:r>
      <w:r>
        <w:rPr>
          <w:rFonts w:ascii="Simplified Arabic" w:hAnsi="Simplified Arabic" w:cs="Simplified Arabic" w:hint="cs"/>
          <w:b/>
          <w:bCs/>
          <w:sz w:val="30"/>
          <w:szCs w:val="30"/>
          <w:rtl/>
          <w:lang w:bidi="ar-EG"/>
        </w:rPr>
        <w:tab/>
      </w:r>
      <w:r w:rsidRPr="007D2857">
        <w:rPr>
          <w:rFonts w:ascii="Simplified Arabic" w:hAnsi="Simplified Arabic" w:cs="Simplified Arabic" w:hint="cs"/>
          <w:b/>
          <w:bCs/>
          <w:sz w:val="30"/>
          <w:szCs w:val="30"/>
          <w:rtl/>
          <w:lang w:bidi="ar-EG"/>
        </w:rPr>
        <w:t>الباحث/ محمد فراج محمد الغول</w:t>
      </w:r>
      <w:r w:rsidR="00DB3708">
        <w:rPr>
          <w:rStyle w:val="FootnoteReference"/>
          <w:rFonts w:ascii="Simplified Arabic" w:hAnsi="Simplified Arabic" w:cs="Simplified Arabic"/>
          <w:b/>
          <w:bCs/>
          <w:sz w:val="30"/>
          <w:szCs w:val="30"/>
          <w:rtl/>
          <w:lang w:bidi="ar-EG"/>
        </w:rPr>
        <w:footnoteReference w:id="2"/>
      </w:r>
    </w:p>
    <w:p w:rsidR="002B2C1E" w:rsidRDefault="002B2C1E" w:rsidP="002B2C1E">
      <w:pPr>
        <w:jc w:val="both"/>
        <w:rPr>
          <w:rFonts w:ascii="Simplified Arabic" w:hAnsi="Simplified Arabic" w:cs="Simplified Arabic"/>
          <w:b/>
          <w:bCs/>
          <w:sz w:val="32"/>
          <w:szCs w:val="32"/>
          <w:rtl/>
          <w:lang w:bidi="ar-EG"/>
        </w:rPr>
      </w:pPr>
      <w:r w:rsidRPr="005F1EE0">
        <w:rPr>
          <w:rFonts w:ascii="Simplified Arabic" w:hAnsi="Simplified Arabic" w:cs="Simplified Arabic" w:hint="cs"/>
          <w:b/>
          <w:bCs/>
          <w:sz w:val="32"/>
          <w:szCs w:val="32"/>
          <w:rtl/>
          <w:lang w:bidi="ar-EG"/>
        </w:rPr>
        <w:t>ملخص البحث :</w:t>
      </w:r>
      <w:r>
        <w:rPr>
          <w:rFonts w:ascii="Simplified Arabic" w:hAnsi="Simplified Arabic" w:cs="Simplified Arabic" w:hint="cs"/>
          <w:b/>
          <w:bCs/>
          <w:sz w:val="32"/>
          <w:szCs w:val="32"/>
          <w:rtl/>
          <w:lang w:bidi="ar-EG"/>
        </w:rPr>
        <w:t xml:space="preserve"> </w:t>
      </w:r>
    </w:p>
    <w:p w:rsidR="002B2C1E" w:rsidRPr="00472A69" w:rsidRDefault="002B2C1E" w:rsidP="002B2C1E">
      <w:pPr>
        <w:ind w:firstLine="720"/>
        <w:jc w:val="both"/>
        <w:rPr>
          <w:rStyle w:val="plainlinks"/>
          <w:rFonts w:ascii="Simplified Arabic" w:hAnsi="Simplified Arabic" w:cs="Simplified Arabic"/>
          <w:b/>
          <w:bCs/>
          <w:sz w:val="32"/>
          <w:szCs w:val="32"/>
          <w:rtl/>
          <w:lang w:bidi="ar-EG"/>
        </w:rPr>
      </w:pPr>
      <w:r>
        <w:rPr>
          <w:rStyle w:val="plainlinks"/>
          <w:rFonts w:ascii="Simplified Arabic" w:eastAsiaTheme="minorEastAsia" w:hAnsi="Simplified Arabic" w:cs="Simplified Arabic" w:hint="cs"/>
          <w:sz w:val="28"/>
          <w:szCs w:val="28"/>
          <w:rtl/>
          <w:lang w:bidi="ar-EG"/>
        </w:rPr>
        <w:t>تعتبر</w:t>
      </w:r>
      <w:r>
        <w:rPr>
          <w:rStyle w:val="plainlinks"/>
          <w:rFonts w:ascii="Simplified Arabic" w:eastAsiaTheme="minorEastAsia" w:hAnsi="Simplified Arabic" w:cs="Simplified Arabic" w:hint="cs"/>
          <w:sz w:val="28"/>
          <w:szCs w:val="28"/>
          <w:rtl/>
        </w:rPr>
        <w:t xml:space="preserve"> دراسة </w:t>
      </w:r>
      <w:r w:rsidRPr="000826F4">
        <w:rPr>
          <w:rStyle w:val="plainlinks"/>
          <w:rFonts w:ascii="Simplified Arabic" w:eastAsiaTheme="minorEastAsia" w:hAnsi="Simplified Arabic" w:cs="Simplified Arabic"/>
          <w:sz w:val="28"/>
          <w:szCs w:val="28"/>
          <w:rtl/>
        </w:rPr>
        <w:t xml:space="preserve">المخطوطات الإسلامية </w:t>
      </w:r>
      <w:r w:rsidRPr="00AF3F64">
        <w:rPr>
          <w:rStyle w:val="plainlinks"/>
          <w:rFonts w:asciiTheme="majorBidi" w:eastAsiaTheme="minorEastAsia" w:hAnsiTheme="majorBidi" w:cstheme="majorBidi"/>
          <w:b/>
          <w:bCs/>
          <w:i/>
          <w:iCs/>
          <w:sz w:val="28"/>
          <w:szCs w:val="28"/>
        </w:rPr>
        <w:t>Islamic</w:t>
      </w:r>
      <w:r w:rsidRPr="006301CB">
        <w:rPr>
          <w:rStyle w:val="plainlinks"/>
          <w:rFonts w:asciiTheme="majorBidi" w:eastAsiaTheme="minorEastAsia" w:hAnsiTheme="majorBidi" w:cstheme="majorBidi"/>
          <w:i/>
          <w:iCs/>
          <w:sz w:val="28"/>
          <w:szCs w:val="28"/>
        </w:rPr>
        <w:t xml:space="preserve"> </w:t>
      </w:r>
      <w:r w:rsidRPr="00AF3F64">
        <w:rPr>
          <w:rStyle w:val="plainlinks"/>
          <w:rFonts w:asciiTheme="majorBidi" w:eastAsiaTheme="minorEastAsia" w:hAnsiTheme="majorBidi" w:cstheme="majorBidi"/>
          <w:b/>
          <w:bCs/>
          <w:i/>
          <w:iCs/>
          <w:sz w:val="28"/>
          <w:szCs w:val="28"/>
        </w:rPr>
        <w:t>manuscripts</w:t>
      </w:r>
      <w:r w:rsidRPr="000826F4">
        <w:rPr>
          <w:rStyle w:val="plainlinks"/>
          <w:rFonts w:ascii="Simplified Arabic" w:eastAsiaTheme="minorEastAsia" w:hAnsi="Simplified Arabic" w:cs="Simplified Arabic"/>
          <w:sz w:val="28"/>
          <w:szCs w:val="28"/>
          <w:rtl/>
        </w:rPr>
        <w:t xml:space="preserve"> </w:t>
      </w:r>
      <w:r>
        <w:rPr>
          <w:rStyle w:val="plainlinks"/>
          <w:rFonts w:ascii="Simplified Arabic" w:eastAsiaTheme="minorEastAsia" w:hAnsi="Simplified Arabic" w:cs="Simplified Arabic" w:hint="cs"/>
          <w:sz w:val="28"/>
          <w:szCs w:val="28"/>
          <w:rtl/>
        </w:rPr>
        <w:t xml:space="preserve">من الدراسات الهامة المعول عليها فى كتابة </w:t>
      </w:r>
      <w:r w:rsidRPr="000826F4">
        <w:rPr>
          <w:rStyle w:val="plainlinks"/>
          <w:rFonts w:ascii="Simplified Arabic" w:eastAsiaTheme="minorEastAsia" w:hAnsi="Simplified Arabic" w:cs="Simplified Arabic"/>
          <w:sz w:val="28"/>
          <w:szCs w:val="28"/>
          <w:rtl/>
        </w:rPr>
        <w:t>ا</w:t>
      </w:r>
      <w:r>
        <w:rPr>
          <w:rStyle w:val="plainlinks"/>
          <w:rFonts w:ascii="Simplified Arabic" w:eastAsiaTheme="minorEastAsia" w:hAnsi="Simplified Arabic" w:cs="Simplified Arabic"/>
          <w:sz w:val="28"/>
          <w:szCs w:val="28"/>
          <w:rtl/>
        </w:rPr>
        <w:t>لتراث الإسلامي بخط اليد</w:t>
      </w:r>
      <w:r>
        <w:rPr>
          <w:rStyle w:val="plainlinks"/>
          <w:rFonts w:ascii="Simplified Arabic" w:eastAsiaTheme="minorEastAsia" w:hAnsi="Simplified Arabic" w:cs="Simplified Arabic" w:hint="cs"/>
          <w:sz w:val="28"/>
          <w:szCs w:val="28"/>
          <w:rtl/>
        </w:rPr>
        <w:t>،</w:t>
      </w:r>
      <w:r w:rsidRPr="000826F4">
        <w:rPr>
          <w:rStyle w:val="plainlinks"/>
          <w:rFonts w:ascii="Simplified Arabic" w:eastAsiaTheme="minorEastAsia" w:hAnsi="Simplified Arabic" w:cs="Simplified Arabic"/>
          <w:sz w:val="28"/>
          <w:szCs w:val="28"/>
          <w:rtl/>
        </w:rPr>
        <w:t xml:space="preserve"> وقد عُنِي المسلمون ب</w:t>
      </w:r>
      <w:r>
        <w:rPr>
          <w:rStyle w:val="plainlinks"/>
          <w:rFonts w:ascii="Simplified Arabic" w:eastAsiaTheme="minorEastAsia" w:hAnsi="Simplified Arabic" w:cs="Simplified Arabic" w:hint="cs"/>
          <w:sz w:val="28"/>
          <w:szCs w:val="28"/>
          <w:rtl/>
        </w:rPr>
        <w:t xml:space="preserve">تلك </w:t>
      </w:r>
      <w:r w:rsidRPr="000826F4">
        <w:rPr>
          <w:rStyle w:val="plainlinks"/>
          <w:rFonts w:ascii="Simplified Arabic" w:eastAsiaTheme="minorEastAsia" w:hAnsi="Simplified Arabic" w:cs="Simplified Arabic"/>
          <w:sz w:val="28"/>
          <w:szCs w:val="28"/>
          <w:rtl/>
        </w:rPr>
        <w:t xml:space="preserve">المخطوطات عناية كبيرة لكونها السبيل الوحيد للحفاظ على ما أنتجه العقل العربي والإسلامي من مصنفات ورسائل موضوعها كتاب الله الكريم وأحاديث الرسول أو ما يتعلق بهما ويخدمهما، فجعلوا منها تحفًا فنية ثمينة </w:t>
      </w:r>
      <w:r>
        <w:rPr>
          <w:rStyle w:val="plainlinks"/>
          <w:rFonts w:ascii="Simplified Arabic" w:eastAsiaTheme="minorEastAsia" w:hAnsi="Simplified Arabic" w:cs="Simplified Arabic"/>
          <w:sz w:val="28"/>
          <w:szCs w:val="28"/>
          <w:rtl/>
        </w:rPr>
        <w:t>وتركوا فيها تراثًا فنيًا عظيمًا</w:t>
      </w:r>
      <w:r>
        <w:rPr>
          <w:rStyle w:val="plainlinks"/>
          <w:rFonts w:ascii="Simplified Arabic" w:eastAsiaTheme="minorEastAsia" w:hAnsi="Simplified Arabic" w:cs="Simplified Arabic" w:hint="cs"/>
          <w:sz w:val="28"/>
          <w:szCs w:val="28"/>
          <w:rtl/>
        </w:rPr>
        <w:t>،</w:t>
      </w:r>
      <w:r w:rsidRPr="000826F4">
        <w:rPr>
          <w:rStyle w:val="plainlinks"/>
          <w:rFonts w:ascii="Simplified Arabic" w:eastAsiaTheme="minorEastAsia" w:hAnsi="Simplified Arabic" w:cs="Simplified Arabic"/>
          <w:sz w:val="28"/>
          <w:szCs w:val="28"/>
          <w:rtl/>
        </w:rPr>
        <w:t xml:space="preserve"> ويكفي أن ن</w:t>
      </w:r>
      <w:r>
        <w:rPr>
          <w:rStyle w:val="plainlinks"/>
          <w:rFonts w:ascii="Simplified Arabic" w:eastAsiaTheme="minorEastAsia" w:hAnsi="Simplified Arabic" w:cs="Simplified Arabic" w:hint="cs"/>
          <w:sz w:val="28"/>
          <w:szCs w:val="28"/>
          <w:rtl/>
        </w:rPr>
        <w:t>ُ</w:t>
      </w:r>
      <w:r>
        <w:rPr>
          <w:rStyle w:val="plainlinks"/>
          <w:rFonts w:ascii="Simplified Arabic" w:eastAsiaTheme="minorEastAsia" w:hAnsi="Simplified Arabic" w:cs="Simplified Arabic"/>
          <w:sz w:val="28"/>
          <w:szCs w:val="28"/>
          <w:rtl/>
        </w:rPr>
        <w:t>شير إلى</w:t>
      </w:r>
      <w:r>
        <w:rPr>
          <w:rStyle w:val="plainlinks"/>
          <w:rFonts w:ascii="Simplified Arabic" w:eastAsiaTheme="minorEastAsia" w:hAnsi="Simplified Arabic" w:cs="Simplified Arabic" w:hint="cs"/>
          <w:sz w:val="28"/>
          <w:szCs w:val="28"/>
          <w:rtl/>
          <w:lang w:bidi="ar-EG"/>
        </w:rPr>
        <w:t xml:space="preserve"> تلك </w:t>
      </w:r>
      <w:r w:rsidRPr="000826F4">
        <w:rPr>
          <w:rStyle w:val="plainlinks"/>
          <w:rFonts w:ascii="Simplified Arabic" w:eastAsiaTheme="minorEastAsia" w:hAnsi="Simplified Arabic" w:cs="Simplified Arabic"/>
          <w:sz w:val="28"/>
          <w:szCs w:val="28"/>
          <w:rtl/>
        </w:rPr>
        <w:t>الثروة الهائلة لهذا التراث الإسلامي من خلال ما تحتفظ به الكثير من المتاحف و</w:t>
      </w:r>
      <w:r>
        <w:rPr>
          <w:rStyle w:val="plainlinks"/>
          <w:rFonts w:ascii="Simplified Arabic" w:eastAsiaTheme="minorEastAsia" w:hAnsi="Simplified Arabic" w:cs="Simplified Arabic" w:hint="cs"/>
          <w:sz w:val="28"/>
          <w:szCs w:val="28"/>
          <w:rtl/>
        </w:rPr>
        <w:t xml:space="preserve">المجموعات الخاصة فى معظم بلدان العالم المختلفة. </w:t>
      </w:r>
    </w:p>
    <w:p w:rsidR="002B2C1E" w:rsidRPr="00D819A3" w:rsidRDefault="002B2C1E" w:rsidP="002B2C1E">
      <w:pPr>
        <w:pStyle w:val="NormalWeb"/>
        <w:bidi/>
        <w:spacing w:before="0" w:beforeAutospacing="0" w:after="80" w:afterAutospacing="0"/>
        <w:ind w:firstLine="720"/>
        <w:jc w:val="both"/>
        <w:rPr>
          <w:rFonts w:ascii="Simplified Arabic" w:eastAsiaTheme="minorEastAsia" w:hAnsi="Simplified Arabic" w:cs="Simplified Arabic"/>
          <w:sz w:val="28"/>
          <w:szCs w:val="28"/>
          <w:rtl/>
        </w:rPr>
      </w:pPr>
      <w:r>
        <w:rPr>
          <w:rStyle w:val="plainlinks"/>
          <w:rFonts w:ascii="Simplified Arabic" w:eastAsiaTheme="minorEastAsia" w:hAnsi="Simplified Arabic" w:cs="Simplified Arabic" w:hint="cs"/>
          <w:sz w:val="28"/>
          <w:szCs w:val="28"/>
          <w:rtl/>
        </w:rPr>
        <w:t>وأهم هذه المخطوطات على الإطلاق هى المصاحف الشريف، حيث أنها</w:t>
      </w:r>
      <w:r w:rsidRPr="0071776A">
        <w:rPr>
          <w:rFonts w:ascii="Simplified Arabic" w:hAnsi="Simplified Arabic" w:cs="Simplified Arabic" w:hint="cs"/>
          <w:sz w:val="28"/>
          <w:szCs w:val="28"/>
          <w:rtl/>
          <w:lang w:bidi="ar-EG"/>
        </w:rPr>
        <w:t xml:space="preserve"> تشكل ميدانا خصبا </w:t>
      </w:r>
      <w:r>
        <w:rPr>
          <w:rFonts w:ascii="Simplified Arabic" w:hAnsi="Simplified Arabic" w:cs="Simplified Arabic" w:hint="cs"/>
          <w:sz w:val="28"/>
          <w:szCs w:val="28"/>
          <w:rtl/>
          <w:lang w:bidi="ar-EG"/>
        </w:rPr>
        <w:t>للفنانين المسلمين لإظهار</w:t>
      </w:r>
      <w:r w:rsidRPr="0071776A">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كآفة ابداعاتهم الفنية والحسية، وقد أولاها هؤلاء الفنانون عبر العصور المختلفة الكثير من الإهتمام والرعاية الكبيرة  فى شتي فروعها.</w:t>
      </w:r>
    </w:p>
    <w:p w:rsidR="002B2C1E" w:rsidRDefault="002B2C1E" w:rsidP="002B2C1E">
      <w:pPr>
        <w:spacing w:after="80"/>
        <w:ind w:firstLine="720"/>
        <w:jc w:val="both"/>
        <w:rPr>
          <w:rFonts w:ascii="Simplified Arabic" w:hAnsi="Simplified Arabic" w:cs="Simplified Arabic"/>
          <w:sz w:val="28"/>
          <w:szCs w:val="28"/>
          <w:rtl/>
          <w:lang w:bidi="ar-EG"/>
        </w:rPr>
      </w:pPr>
      <w:r>
        <w:rPr>
          <w:rFonts w:ascii="Simplified Arabic" w:hAnsi="Simplified Arabic" w:cs="Simplified Arabic" w:hint="cs"/>
          <w:b/>
          <w:bCs/>
          <w:sz w:val="32"/>
          <w:szCs w:val="32"/>
          <w:rtl/>
          <w:lang w:bidi="ar-EG"/>
        </w:rPr>
        <w:t>و</w:t>
      </w:r>
      <w:r>
        <w:rPr>
          <w:rFonts w:ascii="Simplified Arabic" w:hAnsi="Simplified Arabic" w:cs="Simplified Arabic" w:hint="cs"/>
          <w:sz w:val="28"/>
          <w:szCs w:val="28"/>
          <w:rtl/>
          <w:lang w:bidi="ar-EG"/>
        </w:rPr>
        <w:t xml:space="preserve">يتناول هذا البحث دراسة ونشر لمخطوط ايراني، عبارة عن </w:t>
      </w:r>
      <w:r w:rsidRPr="004A50F4">
        <w:rPr>
          <w:rFonts w:ascii="Simplified Arabic" w:hAnsi="Simplified Arabic" w:cs="Simplified Arabic" w:hint="cs"/>
          <w:b/>
          <w:bCs/>
          <w:i/>
          <w:iCs/>
          <w:sz w:val="28"/>
          <w:szCs w:val="28"/>
          <w:rtl/>
          <w:lang w:bidi="ar-EG"/>
        </w:rPr>
        <w:t>مصحف شريف</w:t>
      </w:r>
      <w:r>
        <w:rPr>
          <w:rFonts w:ascii="Simplified Arabic" w:hAnsi="Simplified Arabic" w:cs="Simplified Arabic" w:hint="cs"/>
          <w:b/>
          <w:bCs/>
          <w:i/>
          <w:iCs/>
          <w:sz w:val="28"/>
          <w:szCs w:val="28"/>
          <w:rtl/>
          <w:lang w:bidi="ar-EG"/>
        </w:rPr>
        <w:t xml:space="preserve"> </w:t>
      </w:r>
      <w:r w:rsidRPr="001E068D">
        <w:rPr>
          <w:rFonts w:ascii="Simplified Arabic" w:hAnsi="Simplified Arabic" w:cs="Simplified Arabic" w:hint="cs"/>
          <w:sz w:val="28"/>
          <w:szCs w:val="28"/>
          <w:rtl/>
          <w:lang w:bidi="ar-EG"/>
        </w:rPr>
        <w:t>نادر</w:t>
      </w:r>
      <w:r>
        <w:rPr>
          <w:rFonts w:ascii="Simplified Arabic" w:hAnsi="Simplified Arabic" w:cs="Simplified Arabic" w:hint="cs"/>
          <w:sz w:val="28"/>
          <w:szCs w:val="28"/>
          <w:rtl/>
          <w:lang w:bidi="ar-EG"/>
        </w:rPr>
        <w:t xml:space="preserve"> محفوظ بمخازن </w:t>
      </w:r>
      <w:r w:rsidRPr="003833DE">
        <w:rPr>
          <w:rFonts w:ascii="Simplified Arabic" w:hAnsi="Simplified Arabic" w:cs="Simplified Arabic" w:hint="cs"/>
          <w:b/>
          <w:bCs/>
          <w:sz w:val="28"/>
          <w:szCs w:val="28"/>
          <w:rtl/>
          <w:lang w:bidi="ar-EG"/>
        </w:rPr>
        <w:t>متحف</w:t>
      </w:r>
      <w:r>
        <w:rPr>
          <w:rFonts w:ascii="Simplified Arabic" w:hAnsi="Simplified Arabic" w:cs="Simplified Arabic" w:hint="cs"/>
          <w:sz w:val="28"/>
          <w:szCs w:val="28"/>
          <w:rtl/>
          <w:lang w:bidi="ar-EG"/>
        </w:rPr>
        <w:t xml:space="preserve"> </w:t>
      </w:r>
      <w:r w:rsidRPr="003833DE">
        <w:rPr>
          <w:rFonts w:ascii="Simplified Arabic" w:hAnsi="Simplified Arabic" w:cs="Simplified Arabic" w:hint="cs"/>
          <w:b/>
          <w:bCs/>
          <w:sz w:val="28"/>
          <w:szCs w:val="28"/>
          <w:rtl/>
          <w:lang w:bidi="ar-EG"/>
        </w:rPr>
        <w:t>الفن الإسلامي بالقاهرة</w:t>
      </w:r>
      <w:r>
        <w:rPr>
          <w:rStyle w:val="EndnoteReference"/>
          <w:rFonts w:ascii="Simplified Arabic" w:hAnsi="Simplified Arabic" w:cs="Simplified Arabic"/>
          <w:b/>
          <w:bCs/>
          <w:sz w:val="28"/>
          <w:szCs w:val="28"/>
          <w:rtl/>
          <w:lang w:bidi="ar-EG"/>
        </w:rPr>
        <w:endnoteReference w:customMarkFollows="1" w:id="2"/>
        <w:t>(1)</w:t>
      </w:r>
      <w:r>
        <w:rPr>
          <w:rFonts w:ascii="Simplified Arabic" w:hAnsi="Simplified Arabic" w:cs="Simplified Arabic" w:hint="cs"/>
          <w:sz w:val="28"/>
          <w:szCs w:val="28"/>
          <w:rtl/>
          <w:lang w:bidi="ar-EG"/>
        </w:rPr>
        <w:t xml:space="preserve">، ويتميز هذا المصحف بأنه يعتبر من أصغر المخطوطات المصحفية حجما فى هذا المتحف، إذ يبلغ أبعاده (8 </w:t>
      </w:r>
      <w:r>
        <w:rPr>
          <w:rFonts w:ascii="Simplified Arabic" w:hAnsi="Simplified Arabic" w:cs="Simplified Arabic"/>
          <w:sz w:val="28"/>
          <w:szCs w:val="28"/>
          <w:rtl/>
          <w:lang w:bidi="ar-EG"/>
        </w:rPr>
        <w:t>X</w:t>
      </w:r>
      <w:r>
        <w:rPr>
          <w:rFonts w:ascii="Simplified Arabic" w:hAnsi="Simplified Arabic" w:cs="Simplified Arabic" w:hint="cs"/>
          <w:sz w:val="28"/>
          <w:szCs w:val="28"/>
          <w:rtl/>
          <w:lang w:bidi="ar-EG"/>
        </w:rPr>
        <w:t xml:space="preserve"> 5 سم)، ورغم صغر حجم هذا المخطوط المتناهي للغاية الإ أن الفنان الإيراني أبدع فيه إبداعا منقطع النظير سواء فى اساليب كتابته أو تذهيبه أو زخرفته أو تجليده</w:t>
      </w:r>
      <w:r w:rsidR="00DB3708">
        <w:rPr>
          <w:rStyle w:val="FootnoteReference"/>
          <w:rFonts w:ascii="Simplified Arabic" w:hAnsi="Simplified Arabic" w:cs="Simplified Arabic"/>
          <w:sz w:val="28"/>
          <w:szCs w:val="28"/>
          <w:rtl/>
          <w:lang w:bidi="ar-EG"/>
        </w:rPr>
        <w:footnoteReference w:customMarkFollows="1" w:id="3"/>
        <w:t>(1)</w:t>
      </w:r>
      <w:r>
        <w:rPr>
          <w:rFonts w:ascii="Simplified Arabic" w:hAnsi="Simplified Arabic" w:cs="Simplified Arabic" w:hint="cs"/>
          <w:sz w:val="28"/>
          <w:szCs w:val="28"/>
          <w:rtl/>
          <w:lang w:bidi="ar-EG"/>
        </w:rPr>
        <w:t>.</w:t>
      </w:r>
    </w:p>
    <w:p w:rsidR="002B2C1E" w:rsidRDefault="002B2C1E" w:rsidP="002B2C1E">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وترجع أهمية هذا المصحف إلي أنه لم يسبق دراسته أو نشره من قبل، وفي هذا البحث يتم دراسته دراسة فنية وصفية تحليلية، بالإضافة إلي نشر صوره نشرا علميا لأول مرة، وإلقاء الضوء على العديد من السمات الفنية الخاصة به سواء من ناحية الخط أو أساليب التذهيب وتنوع عناصره الزخرفية، وستكشف الدراسة مزيدا من التفاصيل حول هذا المخطوط المصحفي الهام.</w:t>
      </w:r>
    </w:p>
    <w:p w:rsidR="009E1715" w:rsidRDefault="009E1715" w:rsidP="005D7583">
      <w:pPr>
        <w:spacing w:after="200" w:line="276" w:lineRule="auto"/>
        <w:rPr>
          <w:b/>
          <w:bCs/>
          <w:sz w:val="36"/>
          <w:szCs w:val="30"/>
          <w:u w:val="single"/>
        </w:rPr>
      </w:pPr>
    </w:p>
    <w:p w:rsidR="001C139B" w:rsidRDefault="002B2C1E" w:rsidP="005D7583">
      <w:pPr>
        <w:spacing w:after="200" w:line="276" w:lineRule="auto"/>
        <w:rPr>
          <w:b/>
          <w:bCs/>
          <w:sz w:val="36"/>
          <w:szCs w:val="30"/>
        </w:rPr>
      </w:pPr>
      <w:r w:rsidRPr="007E7C9A">
        <w:rPr>
          <w:rFonts w:hint="cs"/>
          <w:b/>
          <w:bCs/>
          <w:sz w:val="36"/>
          <w:szCs w:val="30"/>
          <w:u w:val="single"/>
          <w:rtl/>
        </w:rPr>
        <w:t>الكلمات الدالة:</w:t>
      </w:r>
      <w:r w:rsidRPr="007E7C9A">
        <w:rPr>
          <w:rFonts w:hint="cs"/>
          <w:b/>
          <w:bCs/>
          <w:sz w:val="36"/>
          <w:szCs w:val="30"/>
          <w:rtl/>
        </w:rPr>
        <w:t xml:space="preserve"> </w:t>
      </w:r>
      <w:r>
        <w:rPr>
          <w:rFonts w:hint="cs"/>
          <w:b/>
          <w:bCs/>
          <w:sz w:val="36"/>
          <w:szCs w:val="30"/>
          <w:rtl/>
        </w:rPr>
        <w:t xml:space="preserve">   </w:t>
      </w:r>
      <w:r w:rsidRPr="007E7C9A">
        <w:rPr>
          <w:rFonts w:hint="cs"/>
          <w:b/>
          <w:bCs/>
          <w:sz w:val="36"/>
          <w:szCs w:val="30"/>
          <w:rtl/>
        </w:rPr>
        <w:t xml:space="preserve"> مخطوط، مصحف، تزويق، خط، ايران، تذهيب، زخارف، تجليد.</w:t>
      </w:r>
    </w:p>
    <w:p w:rsidR="002B2C1E" w:rsidRPr="00886E2F" w:rsidRDefault="002B2C1E" w:rsidP="002B2C1E">
      <w:pPr>
        <w:spacing w:after="200"/>
        <w:ind w:firstLine="720"/>
        <w:jc w:val="center"/>
        <w:rPr>
          <w:rFonts w:asciiTheme="majorBidi" w:hAnsiTheme="majorBidi" w:cstheme="majorBidi"/>
          <w:b/>
          <w:bCs/>
          <w:color w:val="000000"/>
          <w:sz w:val="32"/>
          <w:szCs w:val="32"/>
          <w:rtl/>
        </w:rPr>
      </w:pPr>
      <w:r w:rsidRPr="00886E2F">
        <w:rPr>
          <w:rFonts w:asciiTheme="majorBidi" w:hAnsiTheme="majorBidi" w:cstheme="majorBidi"/>
          <w:b/>
          <w:bCs/>
          <w:color w:val="000000"/>
          <w:sz w:val="32"/>
          <w:szCs w:val="32"/>
        </w:rPr>
        <w:lastRenderedPageBreak/>
        <w:t>Archaeological Study Artistic for  a rare Iranian Qur'an Unpublished Preserved at The Museum of  Islamic Art in Cairo</w:t>
      </w:r>
    </w:p>
    <w:p w:rsidR="002B2C1E" w:rsidRPr="002F0847" w:rsidRDefault="002B2C1E" w:rsidP="002B2C1E">
      <w:pPr>
        <w:ind w:firstLine="720"/>
        <w:jc w:val="center"/>
        <w:rPr>
          <w:rFonts w:asciiTheme="majorBidi" w:hAnsiTheme="majorBidi" w:cstheme="majorBidi"/>
          <w:b/>
          <w:bCs/>
          <w:color w:val="000000"/>
          <w:sz w:val="30"/>
          <w:szCs w:val="30"/>
        </w:rPr>
      </w:pPr>
      <w:r>
        <w:rPr>
          <w:rStyle w:val="EndnoteReference"/>
          <w:rFonts w:asciiTheme="majorBidi" w:hAnsiTheme="majorBidi" w:cstheme="majorBidi"/>
          <w:b/>
          <w:bCs/>
          <w:color w:val="000000"/>
          <w:sz w:val="30"/>
          <w:szCs w:val="30"/>
          <w:rtl/>
        </w:rPr>
        <w:endnoteReference w:customMarkFollows="1" w:id="3"/>
        <w:t>* *</w:t>
      </w:r>
      <w:r w:rsidRPr="00F61FA1">
        <w:rPr>
          <w:rFonts w:asciiTheme="majorBidi" w:hAnsiTheme="majorBidi" w:cstheme="majorBidi"/>
          <w:b/>
          <w:bCs/>
          <w:color w:val="000000"/>
          <w:sz w:val="30"/>
          <w:szCs w:val="30"/>
        </w:rPr>
        <w:t xml:space="preserve"> </w:t>
      </w:r>
      <w:r w:rsidRPr="002F0847">
        <w:rPr>
          <w:rFonts w:asciiTheme="majorBidi" w:hAnsiTheme="majorBidi" w:cstheme="majorBidi"/>
          <w:b/>
          <w:bCs/>
          <w:color w:val="000000"/>
          <w:sz w:val="30"/>
          <w:szCs w:val="30"/>
        </w:rPr>
        <w:t xml:space="preserve">Researcher / Mohamed Farrag </w:t>
      </w:r>
      <w:r>
        <w:rPr>
          <w:rFonts w:asciiTheme="majorBidi" w:hAnsiTheme="majorBidi" w:cstheme="majorBidi"/>
          <w:b/>
          <w:bCs/>
          <w:color w:val="000000"/>
          <w:sz w:val="30"/>
          <w:szCs w:val="30"/>
        </w:rPr>
        <w:t>E</w:t>
      </w:r>
      <w:r w:rsidRPr="002F0847">
        <w:rPr>
          <w:rFonts w:asciiTheme="majorBidi" w:hAnsiTheme="majorBidi" w:cstheme="majorBidi"/>
          <w:b/>
          <w:bCs/>
          <w:color w:val="000000"/>
          <w:sz w:val="30"/>
          <w:szCs w:val="30"/>
        </w:rPr>
        <w:t>l-Ghoul</w:t>
      </w:r>
      <w:r>
        <w:rPr>
          <w:rFonts w:asciiTheme="majorBidi" w:hAnsiTheme="majorBidi" w:cstheme="majorBidi"/>
          <w:b/>
          <w:bCs/>
          <w:color w:val="000000"/>
          <w:sz w:val="30"/>
          <w:szCs w:val="30"/>
        </w:rPr>
        <w:t xml:space="preserve"> </w:t>
      </w:r>
    </w:p>
    <w:p w:rsidR="002B2C1E" w:rsidRPr="00DC3974" w:rsidRDefault="002B2C1E" w:rsidP="002B2C1E">
      <w:pPr>
        <w:spacing w:after="140"/>
        <w:ind w:firstLine="720"/>
        <w:jc w:val="right"/>
        <w:rPr>
          <w:rFonts w:asciiTheme="majorBidi" w:hAnsiTheme="majorBidi" w:cstheme="majorBidi"/>
          <w:b/>
          <w:bCs/>
          <w:color w:val="000000"/>
        </w:rPr>
      </w:pPr>
      <w:r w:rsidRPr="0043346B">
        <w:rPr>
          <w:rFonts w:asciiTheme="majorBidi" w:hAnsiTheme="majorBidi" w:cstheme="majorBidi"/>
          <w:b/>
          <w:bCs/>
          <w:color w:val="000000"/>
        </w:rPr>
        <w:t xml:space="preserve">Abstract </w:t>
      </w:r>
      <w:r w:rsidRPr="00DC3974">
        <w:rPr>
          <w:rFonts w:asciiTheme="majorBidi" w:hAnsiTheme="majorBidi" w:cstheme="majorBidi"/>
          <w:b/>
          <w:bCs/>
          <w:color w:val="000000"/>
        </w:rPr>
        <w:t>:</w:t>
      </w:r>
    </w:p>
    <w:p w:rsidR="002B2C1E" w:rsidRPr="009D7469" w:rsidRDefault="002B2C1E" w:rsidP="002B2C1E">
      <w:pPr>
        <w:bidi w:val="0"/>
        <w:spacing w:after="140"/>
        <w:ind w:firstLine="720"/>
        <w:jc w:val="both"/>
        <w:rPr>
          <w:rFonts w:asciiTheme="majorBidi" w:hAnsiTheme="majorBidi" w:cstheme="majorBidi"/>
          <w:color w:val="000000"/>
          <w:sz w:val="26"/>
          <w:szCs w:val="26"/>
        </w:rPr>
      </w:pPr>
      <w:r w:rsidRPr="009D7469">
        <w:rPr>
          <w:rFonts w:asciiTheme="majorBidi" w:hAnsiTheme="majorBidi" w:cstheme="majorBidi"/>
          <w:color w:val="000000"/>
          <w:sz w:val="26"/>
          <w:szCs w:val="26"/>
        </w:rPr>
        <w:t>The study of Islamic manuscripts considered of  the important studies which relying to in</w:t>
      </w:r>
      <w:r w:rsidRPr="009D7469">
        <w:rPr>
          <w:color w:val="222222"/>
          <w:sz w:val="26"/>
          <w:szCs w:val="26"/>
        </w:rPr>
        <w:t xml:space="preserve"> </w:t>
      </w:r>
      <w:r w:rsidRPr="009D7469">
        <w:rPr>
          <w:rFonts w:asciiTheme="majorBidi" w:hAnsiTheme="majorBidi" w:cstheme="majorBidi"/>
          <w:color w:val="000000"/>
          <w:sz w:val="26"/>
          <w:szCs w:val="26"/>
        </w:rPr>
        <w:t>writing handwritten Islamic heritage, and Muslims take a great care with those manuscripts for being the only way to preserve what was produced by the Arab and Muslim mind works and letters theme of the book of Allah Qur'an and sayings of the Prophet or related to them and helps them, they made them masterpieces artistic a valuable and left the great artistic heritage, is enough to refer to that the enormous wealth of the Islamic heritage through its holdings lot of museums and private collections in most of the various countries of the world.</w:t>
      </w:r>
    </w:p>
    <w:p w:rsidR="002B2C1E" w:rsidRPr="009D7469" w:rsidRDefault="002B2C1E" w:rsidP="002B2C1E">
      <w:pPr>
        <w:bidi w:val="0"/>
        <w:spacing w:after="140"/>
        <w:ind w:firstLine="720"/>
        <w:jc w:val="both"/>
        <w:rPr>
          <w:rFonts w:asciiTheme="majorBidi" w:hAnsiTheme="majorBidi" w:cstheme="majorBidi"/>
          <w:color w:val="000000"/>
          <w:sz w:val="26"/>
          <w:szCs w:val="26"/>
        </w:rPr>
      </w:pPr>
      <w:r w:rsidRPr="009D7469">
        <w:rPr>
          <w:rFonts w:asciiTheme="majorBidi" w:hAnsiTheme="majorBidi" w:cstheme="majorBidi"/>
          <w:color w:val="000000"/>
          <w:sz w:val="26"/>
          <w:szCs w:val="26"/>
        </w:rPr>
        <w:t>The most important of these manuscripts of all is  Holly Koran, where they form ground for a field for artists Muslims to show a lot of artistic and sensory for their creativity, and the Artists  have given her through different ages a great of interest and care in various fields.</w:t>
      </w:r>
    </w:p>
    <w:p w:rsidR="002B2C1E" w:rsidRPr="009D7469" w:rsidRDefault="002B2C1E" w:rsidP="002B2C1E">
      <w:pPr>
        <w:bidi w:val="0"/>
        <w:spacing w:after="140"/>
        <w:ind w:firstLine="720"/>
        <w:jc w:val="lowKashida"/>
        <w:rPr>
          <w:rFonts w:asciiTheme="majorBidi" w:hAnsiTheme="majorBidi" w:cstheme="majorBidi"/>
          <w:color w:val="000000"/>
          <w:sz w:val="26"/>
          <w:szCs w:val="26"/>
        </w:rPr>
      </w:pPr>
      <w:r w:rsidRPr="009D7469">
        <w:rPr>
          <w:rFonts w:asciiTheme="majorBidi" w:hAnsiTheme="majorBidi" w:cstheme="majorBidi"/>
          <w:color w:val="000000"/>
          <w:sz w:val="26"/>
          <w:szCs w:val="26"/>
        </w:rPr>
        <w:t xml:space="preserve">this paper deals with Publishing &amp; study of the manuscript attributed Researcher to Iran, it is a rare Manuscript of Quran Preserved at stores </w:t>
      </w:r>
      <w:r w:rsidRPr="009D7469">
        <w:rPr>
          <w:rFonts w:asciiTheme="majorBidi" w:hAnsiTheme="majorBidi" w:cstheme="majorBidi"/>
          <w:i/>
          <w:iCs/>
          <w:color w:val="000000"/>
          <w:sz w:val="26"/>
          <w:szCs w:val="26"/>
        </w:rPr>
        <w:t xml:space="preserve">Museum of Islamic Art </w:t>
      </w:r>
      <w:r w:rsidRPr="009D7469">
        <w:rPr>
          <w:rFonts w:asciiTheme="majorBidi" w:hAnsiTheme="majorBidi" w:cstheme="majorBidi"/>
          <w:color w:val="000000"/>
          <w:sz w:val="26"/>
          <w:szCs w:val="26"/>
        </w:rPr>
        <w:t xml:space="preserve"> in Cairo, and  it is characterized by this manuscript that it is one of the smaller manuscripts </w:t>
      </w:r>
      <w:r w:rsidRPr="009D7469">
        <w:rPr>
          <w:rFonts w:asciiTheme="majorBidi" w:hAnsiTheme="majorBidi" w:cstheme="majorBidi"/>
          <w:i/>
          <w:iCs/>
          <w:color w:val="000000"/>
          <w:sz w:val="26"/>
          <w:szCs w:val="26"/>
        </w:rPr>
        <w:t>Al msahf</w:t>
      </w:r>
      <w:r w:rsidRPr="009D7469">
        <w:rPr>
          <w:rFonts w:asciiTheme="majorBidi" w:hAnsiTheme="majorBidi" w:cstheme="majorBidi"/>
          <w:color w:val="000000"/>
          <w:sz w:val="26"/>
          <w:szCs w:val="26"/>
        </w:rPr>
        <w:t xml:space="preserve"> size in this museum, because of its dimensions (8 X 5 cm), and despite its very small size this manuscript However, the Iranian Artist excelled the creative unrivaled such as Calligraphy, Gilding, Decoration, and Bookbinding Methods.</w:t>
      </w:r>
    </w:p>
    <w:p w:rsidR="002B2C1E" w:rsidRDefault="002B2C1E" w:rsidP="002B2C1E">
      <w:pPr>
        <w:bidi w:val="0"/>
        <w:ind w:firstLine="720"/>
        <w:jc w:val="lowKashida"/>
        <w:rPr>
          <w:rFonts w:asciiTheme="majorBidi" w:hAnsiTheme="majorBidi" w:cstheme="majorBidi"/>
          <w:color w:val="000000"/>
          <w:sz w:val="26"/>
          <w:szCs w:val="26"/>
        </w:rPr>
      </w:pPr>
      <w:r w:rsidRPr="009D7469">
        <w:rPr>
          <w:rFonts w:asciiTheme="majorBidi" w:hAnsiTheme="majorBidi" w:cstheme="majorBidi"/>
          <w:color w:val="000000"/>
          <w:sz w:val="26"/>
          <w:szCs w:val="26"/>
        </w:rPr>
        <w:t>The Researcher in this Subject will published</w:t>
      </w:r>
      <w:r w:rsidRPr="009D7469">
        <w:rPr>
          <w:rFonts w:asciiTheme="majorBidi" w:hAnsiTheme="majorBidi" w:cstheme="majorBidi" w:hint="cs"/>
          <w:color w:val="000000"/>
          <w:sz w:val="26"/>
          <w:szCs w:val="26"/>
          <w:rtl/>
        </w:rPr>
        <w:t xml:space="preserve"> </w:t>
      </w:r>
      <w:r w:rsidRPr="009D7469">
        <w:rPr>
          <w:rFonts w:asciiTheme="majorBidi" w:hAnsiTheme="majorBidi" w:cstheme="majorBidi"/>
          <w:color w:val="000000"/>
          <w:sz w:val="26"/>
          <w:szCs w:val="26"/>
        </w:rPr>
        <w:t>some of photographs of this manuscript Koran for the first time, and He will do also analytical Artistic Study for it, highlighting on many of its technical features, both of the Calligraphy or Gilding or the Decoration of various kinds hand, and the study will reveal more details about this important manuscript.</w:t>
      </w:r>
    </w:p>
    <w:p w:rsidR="002B2C1E" w:rsidRDefault="002B2C1E" w:rsidP="002B2C1E">
      <w:pPr>
        <w:bidi w:val="0"/>
        <w:spacing w:after="200" w:line="276" w:lineRule="auto"/>
        <w:rPr>
          <w:rFonts w:asciiTheme="majorBidi" w:hAnsiTheme="majorBidi" w:cstheme="majorBidi"/>
          <w:color w:val="000000"/>
          <w:sz w:val="26"/>
          <w:szCs w:val="26"/>
          <w:rtl/>
        </w:rPr>
      </w:pPr>
    </w:p>
    <w:p w:rsidR="00D533EC" w:rsidRDefault="00D533EC"/>
    <w:sectPr w:rsidR="00D533EC" w:rsidSect="00D533EC">
      <w:footerReference w:type="default" r:id="rId7"/>
      <w:footnotePr>
        <w:numFmt w:val="arabicAbjad"/>
      </w:foot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558" w:rsidRDefault="00D32558" w:rsidP="002B2C1E">
      <w:r>
        <w:separator/>
      </w:r>
    </w:p>
  </w:endnote>
  <w:endnote w:type="continuationSeparator" w:id="1">
    <w:p w:rsidR="00D32558" w:rsidRDefault="00D32558" w:rsidP="002B2C1E">
      <w:r>
        <w:continuationSeparator/>
      </w:r>
    </w:p>
  </w:endnote>
  <w:endnote w:id="2">
    <w:p w:rsidR="002B2C1E" w:rsidRDefault="002B2C1E" w:rsidP="002B2C1E">
      <w:pPr>
        <w:pStyle w:val="EndnoteText"/>
        <w:rPr>
          <w:lang w:bidi="ar-EG"/>
        </w:rPr>
      </w:pPr>
      <w:r w:rsidRPr="00C2293D">
        <w:rPr>
          <w:rFonts w:ascii="Arabic Transparent" w:hAnsi="Arabic Transparent" w:cs="Arabic Transparent"/>
          <w:sz w:val="22"/>
          <w:szCs w:val="22"/>
          <w:rtl/>
          <w:lang w:bidi="ar-EG"/>
        </w:rPr>
        <w:t xml:space="preserve">(1) </w:t>
      </w:r>
      <w:r w:rsidRPr="007D2857">
        <w:rPr>
          <w:rFonts w:ascii="Arabic Transparent" w:hAnsi="Arabic Transparent" w:cs="Arabic Transparent" w:hint="cs"/>
          <w:sz w:val="22"/>
          <w:szCs w:val="22"/>
          <w:rtl/>
          <w:lang w:bidi="ar-EG"/>
        </w:rPr>
        <w:t>محفوظ تحت رقم 18123.</w:t>
      </w:r>
    </w:p>
  </w:endnote>
  <w:endnote w:id="3">
    <w:p w:rsidR="002B2C1E" w:rsidRPr="003E7F2C" w:rsidRDefault="002B2C1E" w:rsidP="002B2C1E">
      <w:pPr>
        <w:bidi w:val="0"/>
        <w:ind w:hanging="90"/>
        <w:rPr>
          <w:rFonts w:asciiTheme="majorBidi" w:hAnsiTheme="majorBidi" w:cstheme="majorBidi"/>
          <w:b/>
          <w:bCs/>
          <w:color w:val="000000"/>
        </w:rPr>
      </w:pPr>
      <w:r w:rsidRPr="003E7F2C">
        <w:rPr>
          <w:rStyle w:val="EndnoteReference"/>
          <w:b/>
          <w:bCs/>
          <w:rtl/>
        </w:rPr>
        <w:t>* *</w:t>
      </w:r>
      <w:r w:rsidRPr="003E7F2C">
        <w:rPr>
          <w:b/>
          <w:bCs/>
          <w:rtl/>
        </w:rPr>
        <w:t xml:space="preserve"> </w:t>
      </w:r>
      <w:r w:rsidRPr="003E7F2C">
        <w:rPr>
          <w:b/>
          <w:bCs/>
        </w:rPr>
        <w:t>)</w:t>
      </w:r>
      <w:r w:rsidRPr="003E7F2C">
        <w:rPr>
          <w:rFonts w:asciiTheme="majorBidi" w:hAnsiTheme="majorBidi" w:cstheme="majorBidi"/>
          <w:b/>
          <w:bCs/>
          <w:color w:val="000000"/>
          <w:sz w:val="20"/>
          <w:szCs w:val="20"/>
        </w:rPr>
        <w:t xml:space="preserve"> Teaching Assistant in the Department of Islamic Archaeology. the Faculty of Archaeology, Cairo University</w:t>
      </w:r>
      <w:r w:rsidRPr="003E7F2C">
        <w:rPr>
          <w:rFonts w:asciiTheme="majorBidi" w:hAnsiTheme="majorBidi" w:cstheme="majorBidi"/>
          <w:b/>
          <w:bCs/>
          <w:color w:val="000000"/>
        </w:rPr>
        <w:br/>
      </w:r>
    </w:p>
    <w:p w:rsidR="002B2C1E" w:rsidRDefault="002B2C1E" w:rsidP="002B2C1E">
      <w:pPr>
        <w:pStyle w:val="EndnoteText"/>
        <w:bidi w:val="0"/>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e_AlMothnna">
    <w:panose1 w:val="020B0803030604020204"/>
    <w:charset w:val="00"/>
    <w:family w:val="swiss"/>
    <w:pitch w:val="variable"/>
    <w:sig w:usb0="800020AF" w:usb1="C000204A"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186481"/>
      <w:docPartObj>
        <w:docPartGallery w:val="Page Numbers (Bottom of Page)"/>
        <w:docPartUnique/>
      </w:docPartObj>
    </w:sdtPr>
    <w:sdtContent>
      <w:p w:rsidR="002B2C1E" w:rsidRDefault="002B2C1E">
        <w:pPr>
          <w:pStyle w:val="Footer"/>
          <w:jc w:val="center"/>
        </w:pPr>
        <w:r w:rsidRPr="001921A1">
          <w:rPr>
            <w:sz w:val="28"/>
            <w:szCs w:val="28"/>
          </w:rPr>
          <w:fldChar w:fldCharType="begin"/>
        </w:r>
        <w:r w:rsidRPr="001921A1">
          <w:rPr>
            <w:sz w:val="28"/>
            <w:szCs w:val="28"/>
            <w:rtl/>
          </w:rPr>
          <w:instrText xml:space="preserve"> </w:instrText>
        </w:r>
        <w:r w:rsidRPr="001921A1">
          <w:rPr>
            <w:sz w:val="28"/>
            <w:szCs w:val="28"/>
          </w:rPr>
          <w:instrText>PAGE   \* MERGEFORMAT</w:instrText>
        </w:r>
        <w:r w:rsidRPr="001921A1">
          <w:rPr>
            <w:sz w:val="28"/>
            <w:szCs w:val="28"/>
            <w:rtl/>
          </w:rPr>
          <w:instrText xml:space="preserve"> </w:instrText>
        </w:r>
        <w:r w:rsidRPr="001921A1">
          <w:rPr>
            <w:sz w:val="28"/>
            <w:szCs w:val="28"/>
          </w:rPr>
          <w:fldChar w:fldCharType="separate"/>
        </w:r>
        <w:r w:rsidR="005A6130">
          <w:rPr>
            <w:noProof/>
            <w:sz w:val="28"/>
            <w:szCs w:val="28"/>
            <w:rtl/>
          </w:rPr>
          <w:t>2</w:t>
        </w:r>
        <w:r w:rsidRPr="001921A1">
          <w:rPr>
            <w:sz w:val="28"/>
            <w:szCs w:val="28"/>
          </w:rPr>
          <w:fldChar w:fldCharType="end"/>
        </w:r>
      </w:p>
    </w:sdtContent>
  </w:sdt>
  <w:p w:rsidR="002B2C1E" w:rsidRDefault="002B2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558" w:rsidRDefault="00D32558" w:rsidP="002B2C1E">
      <w:r>
        <w:separator/>
      </w:r>
    </w:p>
  </w:footnote>
  <w:footnote w:type="continuationSeparator" w:id="1">
    <w:p w:rsidR="00D32558" w:rsidRDefault="00D32558" w:rsidP="002B2C1E">
      <w:r>
        <w:continuationSeparator/>
      </w:r>
    </w:p>
  </w:footnote>
  <w:footnote w:id="2">
    <w:p w:rsidR="00DB3708" w:rsidRDefault="00DB3708">
      <w:pPr>
        <w:pStyle w:val="FootnoteText"/>
        <w:rPr>
          <w:rFonts w:hint="cs"/>
          <w:lang w:bidi="ar-EG"/>
        </w:rPr>
      </w:pPr>
      <w:r>
        <w:rPr>
          <w:rStyle w:val="FootnoteReference"/>
        </w:rPr>
        <w:footnoteRef/>
      </w:r>
      <w:r>
        <w:rPr>
          <w:rFonts w:hint="cs"/>
          <w:rtl/>
        </w:rPr>
        <w:t xml:space="preserve">) </w:t>
      </w:r>
      <w:r w:rsidRPr="007D2857">
        <w:rPr>
          <w:rFonts w:ascii="Arabic Transparent" w:hAnsi="Arabic Transparent" w:cs="Arabic Transparent" w:hint="cs"/>
          <w:b/>
          <w:bCs/>
          <w:sz w:val="16"/>
          <w:szCs w:val="16"/>
          <w:rtl/>
          <w:lang w:bidi="ar-EG"/>
        </w:rPr>
        <w:t xml:space="preserve">المدرس </w:t>
      </w:r>
      <w:r w:rsidRPr="007D2857">
        <w:rPr>
          <w:rFonts w:ascii="Arabic Transparent" w:hAnsi="Arabic Transparent" w:cs="Arabic Transparent" w:hint="cs"/>
          <w:b/>
          <w:bCs/>
          <w:rtl/>
          <w:lang w:bidi="ar-EG"/>
        </w:rPr>
        <w:t xml:space="preserve">المساعد بقسم الآثار الإسلامية </w:t>
      </w:r>
      <w:r w:rsidRPr="007D2857">
        <w:rPr>
          <w:rFonts w:ascii="Arabic Transparent" w:hAnsi="Arabic Transparent" w:cs="Arabic Transparent"/>
          <w:b/>
          <w:bCs/>
          <w:rtl/>
          <w:lang w:bidi="ar-EG"/>
        </w:rPr>
        <w:t>–</w:t>
      </w:r>
      <w:r w:rsidRPr="007D2857">
        <w:rPr>
          <w:rFonts w:ascii="Arabic Transparent" w:hAnsi="Arabic Transparent" w:cs="Arabic Transparent" w:hint="cs"/>
          <w:b/>
          <w:bCs/>
          <w:rtl/>
          <w:lang w:bidi="ar-EG"/>
        </w:rPr>
        <w:t xml:space="preserve"> كلية الآثار جامعة القاهرة، </w:t>
      </w:r>
      <w:r w:rsidRPr="007D2857">
        <w:rPr>
          <w:rFonts w:ascii="Arabic Transparent" w:hAnsi="Arabic Transparent" w:cs="Arabic Transparent" w:hint="cs"/>
          <w:b/>
          <w:bCs/>
          <w:sz w:val="18"/>
          <w:szCs w:val="18"/>
          <w:u w:val="single"/>
          <w:rtl/>
          <w:lang w:bidi="fa-IR"/>
        </w:rPr>
        <w:t>البرید الإلكتروني:</w:t>
      </w:r>
      <w:r w:rsidRPr="007D2857">
        <w:rPr>
          <w:rFonts w:ascii="Arabic Transparent" w:hAnsi="Arabic Transparent" w:cs="Arabic Transparent"/>
          <w:b/>
          <w:bCs/>
          <w:sz w:val="18"/>
          <w:szCs w:val="18"/>
          <w:lang w:bidi="fa-IR"/>
        </w:rPr>
        <w:t xml:space="preserve"> </w:t>
      </w:r>
      <w:r w:rsidRPr="007D2857">
        <w:rPr>
          <w:rFonts w:ascii="Arabic Transparent" w:hAnsi="Arabic Transparent" w:cs="Arabic Transparent" w:hint="cs"/>
          <w:b/>
          <w:bCs/>
          <w:sz w:val="18"/>
          <w:szCs w:val="18"/>
          <w:rtl/>
          <w:lang w:bidi="fa-IR"/>
        </w:rPr>
        <w:t xml:space="preserve"> </w:t>
      </w:r>
      <w:hyperlink r:id="rId1" w:history="1">
        <w:r w:rsidRPr="007D2857">
          <w:rPr>
            <w:rStyle w:val="Hyperlink"/>
            <w:rFonts w:ascii="Arabic Transparent" w:hAnsi="Arabic Transparent" w:cs="Arabic Transparent"/>
            <w:b/>
            <w:bCs/>
            <w:sz w:val="16"/>
            <w:szCs w:val="16"/>
            <w:lang w:bidi="fa-IR"/>
          </w:rPr>
          <w:t>Mohamed_elghole@cu.edu.eg</w:t>
        </w:r>
      </w:hyperlink>
      <w:r>
        <w:rPr>
          <w:rtl/>
        </w:rPr>
        <w:t xml:space="preserve"> </w:t>
      </w:r>
    </w:p>
  </w:footnote>
  <w:footnote w:id="3">
    <w:p w:rsidR="00DB3708" w:rsidRDefault="00DB3708">
      <w:pPr>
        <w:pStyle w:val="FootnoteText"/>
        <w:rPr>
          <w:rFonts w:hint="cs"/>
          <w:lang w:bidi="ar-EG"/>
        </w:rPr>
      </w:pPr>
      <w:r>
        <w:rPr>
          <w:rStyle w:val="FootnoteReference"/>
          <w:rtl/>
        </w:rPr>
        <w:t>(1)</w:t>
      </w:r>
      <w:r>
        <w:rPr>
          <w:rtl/>
        </w:rPr>
        <w:t xml:space="preserve"> </w:t>
      </w:r>
      <w:r>
        <w:rPr>
          <w:rFonts w:hint="cs"/>
          <w:rtl/>
          <w:lang w:bidi="ar-EG"/>
        </w:rPr>
        <w:t>تم نشر البحث في كتاب المؤتمر.</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numFmt w:val="arabicAbjad"/>
    <w:footnote w:id="0"/>
    <w:footnote w:id="1"/>
  </w:footnotePr>
  <w:endnotePr>
    <w:endnote w:id="0"/>
    <w:endnote w:id="1"/>
  </w:endnotePr>
  <w:compat/>
  <w:rsids>
    <w:rsidRoot w:val="002B2C1E"/>
    <w:rsid w:val="001C139B"/>
    <w:rsid w:val="002B2C1E"/>
    <w:rsid w:val="005A6130"/>
    <w:rsid w:val="005D7583"/>
    <w:rsid w:val="007C3386"/>
    <w:rsid w:val="0095502B"/>
    <w:rsid w:val="009E1715"/>
    <w:rsid w:val="00C2343D"/>
    <w:rsid w:val="00D32558"/>
    <w:rsid w:val="00D533EC"/>
    <w:rsid w:val="00DB3708"/>
    <w:rsid w:val="00E072DF"/>
    <w:rsid w:val="00F578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1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2C1E"/>
    <w:pPr>
      <w:tabs>
        <w:tab w:val="center" w:pos="4680"/>
        <w:tab w:val="right" w:pos="9360"/>
      </w:tabs>
    </w:pPr>
  </w:style>
  <w:style w:type="character" w:customStyle="1" w:styleId="FooterChar">
    <w:name w:val="Footer Char"/>
    <w:basedOn w:val="DefaultParagraphFont"/>
    <w:link w:val="Footer"/>
    <w:uiPriority w:val="99"/>
    <w:rsid w:val="002B2C1E"/>
    <w:rPr>
      <w:rFonts w:ascii="Times New Roman" w:eastAsia="Times New Roman" w:hAnsi="Times New Roman" w:cs="Times New Roman"/>
      <w:sz w:val="24"/>
      <w:szCs w:val="24"/>
    </w:rPr>
  </w:style>
  <w:style w:type="character" w:customStyle="1" w:styleId="plainlinks">
    <w:name w:val="plainlinks"/>
    <w:basedOn w:val="DefaultParagraphFont"/>
    <w:rsid w:val="002B2C1E"/>
  </w:style>
  <w:style w:type="paragraph" w:styleId="NormalWeb">
    <w:name w:val="Normal (Web)"/>
    <w:basedOn w:val="Normal"/>
    <w:unhideWhenUsed/>
    <w:rsid w:val="002B2C1E"/>
    <w:pPr>
      <w:bidi w:val="0"/>
      <w:spacing w:before="100" w:beforeAutospacing="1" w:after="100" w:afterAutospacing="1"/>
    </w:pPr>
  </w:style>
  <w:style w:type="character" w:styleId="Hyperlink">
    <w:name w:val="Hyperlink"/>
    <w:basedOn w:val="DefaultParagraphFont"/>
    <w:uiPriority w:val="99"/>
    <w:unhideWhenUsed/>
    <w:rsid w:val="002B2C1E"/>
    <w:rPr>
      <w:color w:val="0000FF" w:themeColor="hyperlink"/>
      <w:u w:val="single"/>
    </w:rPr>
  </w:style>
  <w:style w:type="paragraph" w:styleId="EndnoteText">
    <w:name w:val="endnote text"/>
    <w:basedOn w:val="Normal"/>
    <w:link w:val="EndnoteTextChar"/>
    <w:uiPriority w:val="99"/>
    <w:semiHidden/>
    <w:unhideWhenUsed/>
    <w:rsid w:val="002B2C1E"/>
    <w:rPr>
      <w:sz w:val="20"/>
      <w:szCs w:val="20"/>
    </w:rPr>
  </w:style>
  <w:style w:type="character" w:customStyle="1" w:styleId="EndnoteTextChar">
    <w:name w:val="Endnote Text Char"/>
    <w:basedOn w:val="DefaultParagraphFont"/>
    <w:link w:val="EndnoteText"/>
    <w:uiPriority w:val="99"/>
    <w:semiHidden/>
    <w:rsid w:val="002B2C1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B2C1E"/>
    <w:rPr>
      <w:vertAlign w:val="superscript"/>
    </w:rPr>
  </w:style>
  <w:style w:type="paragraph" w:styleId="FootnoteText">
    <w:name w:val="footnote text"/>
    <w:basedOn w:val="Normal"/>
    <w:link w:val="FootnoteTextChar"/>
    <w:uiPriority w:val="99"/>
    <w:semiHidden/>
    <w:unhideWhenUsed/>
    <w:rsid w:val="00DB3708"/>
    <w:rPr>
      <w:sz w:val="20"/>
      <w:szCs w:val="20"/>
    </w:rPr>
  </w:style>
  <w:style w:type="character" w:customStyle="1" w:styleId="FootnoteTextChar">
    <w:name w:val="Footnote Text Char"/>
    <w:basedOn w:val="DefaultParagraphFont"/>
    <w:link w:val="FootnoteText"/>
    <w:uiPriority w:val="99"/>
    <w:semiHidden/>
    <w:rsid w:val="00DB37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B370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Mohamed_elghole@cu.edu.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4F7CA-4515-424F-AB38-F3F9E0BE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El-Ghoul</dc:creator>
  <cp:lastModifiedBy>El-Ghoul</cp:lastModifiedBy>
  <cp:revision>9</cp:revision>
  <dcterms:created xsi:type="dcterms:W3CDTF">2018-09-02T13:15:00Z</dcterms:created>
  <dcterms:modified xsi:type="dcterms:W3CDTF">2018-09-02T13:19:00Z</dcterms:modified>
</cp:coreProperties>
</file>