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glossary/document.xml" ContentType="application/vnd.openxmlformats-officedocument.wordprocessingml.document.glossary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799" w:rsidRPr="00934799" w:rsidRDefault="00934799" w:rsidP="00934799">
      <w:pPr>
        <w:spacing w:before="240" w:line="276" w:lineRule="auto"/>
        <w:rPr>
          <w:rFonts w:asciiTheme="minorBidi" w:hAnsiTheme="minorBidi"/>
          <w:b/>
          <w:bCs/>
          <w:sz w:val="32"/>
          <w:szCs w:val="32"/>
          <w:u w:val="single"/>
        </w:rPr>
      </w:pPr>
      <w:r w:rsidRPr="00934799">
        <w:rPr>
          <w:rFonts w:asciiTheme="minorBidi" w:hAnsiTheme="minorBidi"/>
          <w:b/>
          <w:bCs/>
          <w:sz w:val="32"/>
          <w:szCs w:val="32"/>
          <w:u w:val="single"/>
        </w:rPr>
        <w:t>Results</w:t>
      </w:r>
    </w:p>
    <w:p w:rsidR="005A2A81" w:rsidRPr="00EC54C0" w:rsidRDefault="00B11C3C" w:rsidP="00B60BD1">
      <w:pPr>
        <w:spacing w:before="240" w:line="276" w:lineRule="auto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>This study was carried out on 15 patients who were following up at Pediatric Endocrinology Unit, Cairo University along 6 months starting from February 2014 till end of August 2014.</w:t>
      </w:r>
    </w:p>
    <w:p w:rsidR="00AF4085" w:rsidRPr="00DD3C84" w:rsidRDefault="00016FA7" w:rsidP="00DD3C84">
      <w:pPr>
        <w:pStyle w:val="ListParagraph"/>
        <w:numPr>
          <w:ilvl w:val="0"/>
          <w:numId w:val="9"/>
        </w:numPr>
        <w:shd w:val="clear" w:color="auto" w:fill="BFBFBF" w:themeFill="background1" w:themeFillShade="BF"/>
        <w:spacing w:before="240" w:line="276" w:lineRule="auto"/>
        <w:rPr>
          <w:rFonts w:asciiTheme="minorBidi" w:hAnsiTheme="minorBidi"/>
          <w:b/>
          <w:bCs/>
          <w:sz w:val="32"/>
          <w:szCs w:val="32"/>
        </w:rPr>
      </w:pPr>
      <w:r w:rsidRPr="00DD3C84">
        <w:rPr>
          <w:rFonts w:asciiTheme="minorBidi" w:hAnsiTheme="minorBidi"/>
          <w:b/>
          <w:bCs/>
          <w:sz w:val="32"/>
          <w:szCs w:val="32"/>
        </w:rPr>
        <w:t>History</w:t>
      </w:r>
    </w:p>
    <w:p w:rsidR="00016FA7" w:rsidRPr="00E5497B" w:rsidRDefault="00016FA7" w:rsidP="00E5497B">
      <w:pPr>
        <w:spacing w:before="240" w:line="276" w:lineRule="auto"/>
        <w:ind w:firstLine="567"/>
        <w:jc w:val="both"/>
        <w:rPr>
          <w:rFonts w:asciiTheme="minorBidi" w:hAnsiTheme="minorBidi"/>
          <w:b/>
          <w:bCs/>
          <w:sz w:val="28"/>
          <w:szCs w:val="28"/>
          <w:u w:val="single"/>
        </w:rPr>
      </w:pPr>
      <w:r w:rsidRPr="00B60BD1">
        <w:rPr>
          <w:rFonts w:asciiTheme="minorBidi" w:hAnsiTheme="minorBidi"/>
          <w:b/>
          <w:bCs/>
          <w:sz w:val="28"/>
          <w:szCs w:val="28"/>
          <w:u w:val="single"/>
        </w:rPr>
        <w:t>1</w:t>
      </w:r>
      <w:r w:rsidR="00726FAF" w:rsidRPr="00B60BD1">
        <w:rPr>
          <w:rFonts w:asciiTheme="minorBidi" w:hAnsiTheme="minorBidi"/>
          <w:b/>
          <w:bCs/>
          <w:sz w:val="28"/>
          <w:szCs w:val="28"/>
          <w:u w:val="single"/>
        </w:rPr>
        <w:t xml:space="preserve"> </w:t>
      </w:r>
      <w:r w:rsidR="00BC2DBA" w:rsidRPr="00B60BD1">
        <w:rPr>
          <w:rFonts w:asciiTheme="minorBidi" w:hAnsiTheme="minorBidi"/>
          <w:b/>
          <w:bCs/>
          <w:sz w:val="28"/>
          <w:szCs w:val="28"/>
          <w:u w:val="single"/>
        </w:rPr>
        <w:t>–</w:t>
      </w:r>
      <w:r w:rsidR="004B7BBF" w:rsidRPr="00B60BD1">
        <w:rPr>
          <w:rFonts w:asciiTheme="minorBidi" w:hAnsiTheme="minorBidi"/>
          <w:b/>
          <w:bCs/>
          <w:sz w:val="28"/>
          <w:szCs w:val="28"/>
          <w:u w:val="single"/>
        </w:rPr>
        <w:t xml:space="preserve"> </w:t>
      </w:r>
      <w:r w:rsidR="00914F5F" w:rsidRPr="00B60BD1">
        <w:rPr>
          <w:rFonts w:asciiTheme="minorBidi" w:hAnsiTheme="minorBidi"/>
          <w:b/>
          <w:bCs/>
          <w:sz w:val="28"/>
          <w:szCs w:val="28"/>
          <w:u w:val="single"/>
        </w:rPr>
        <w:t>A</w:t>
      </w:r>
      <w:r w:rsidR="00726FAF" w:rsidRPr="00B60BD1">
        <w:rPr>
          <w:rFonts w:asciiTheme="minorBidi" w:hAnsiTheme="minorBidi"/>
          <w:b/>
          <w:bCs/>
          <w:sz w:val="28"/>
          <w:szCs w:val="28"/>
          <w:u w:val="single"/>
        </w:rPr>
        <w:t>ge</w:t>
      </w:r>
      <w:r w:rsidR="00BC2DBA" w:rsidRPr="00B60BD1">
        <w:rPr>
          <w:rFonts w:asciiTheme="minorBidi" w:hAnsiTheme="minorBidi"/>
          <w:b/>
          <w:bCs/>
          <w:sz w:val="28"/>
          <w:szCs w:val="28"/>
          <w:u w:val="single"/>
        </w:rPr>
        <w:t>:</w:t>
      </w:r>
      <w:r w:rsidR="00E5497B">
        <w:rPr>
          <w:rFonts w:asciiTheme="minorBidi" w:hAnsiTheme="minorBidi"/>
          <w:b/>
          <w:bCs/>
          <w:sz w:val="28"/>
          <w:szCs w:val="28"/>
          <w:u w:val="single"/>
        </w:rPr>
        <w:t xml:space="preserve"> </w:t>
      </w:r>
      <w:r w:rsidR="004F2D6A" w:rsidRPr="00EC54C0">
        <w:rPr>
          <w:rFonts w:asciiTheme="minorBidi" w:hAnsiTheme="minorBidi"/>
          <w:sz w:val="28"/>
          <w:szCs w:val="28"/>
        </w:rPr>
        <w:t>The age</w:t>
      </w:r>
      <w:r w:rsidR="00914F5F" w:rsidRPr="00EC54C0">
        <w:rPr>
          <w:rFonts w:asciiTheme="minorBidi" w:hAnsiTheme="minorBidi"/>
          <w:sz w:val="28"/>
          <w:szCs w:val="28"/>
        </w:rPr>
        <w:t xml:space="preserve"> of the study population ranged from 10 to 17 years, with the mean 14.5 </w:t>
      </w:r>
      <w:r w:rsidR="00914F5F" w:rsidRPr="00EC54C0">
        <w:rPr>
          <w:rFonts w:asciiTheme="minorBidi" w:eastAsia="Times New Roman" w:hAnsiTheme="minorBidi"/>
          <w:color w:val="000000"/>
          <w:sz w:val="28"/>
          <w:szCs w:val="28"/>
        </w:rPr>
        <w:t>±</w:t>
      </w:r>
      <w:r w:rsidRPr="00EC54C0">
        <w:rPr>
          <w:rFonts w:asciiTheme="minorBidi" w:hAnsiTheme="minorBidi"/>
          <w:sz w:val="28"/>
          <w:szCs w:val="28"/>
        </w:rPr>
        <w:t xml:space="preserve"> 2.1 SD, the median 15</w:t>
      </w:r>
      <w:r w:rsidR="00E5497B">
        <w:rPr>
          <w:rFonts w:asciiTheme="minorBidi" w:hAnsiTheme="minorBidi"/>
          <w:sz w:val="28"/>
          <w:szCs w:val="28"/>
        </w:rPr>
        <w:t xml:space="preserve"> years</w:t>
      </w:r>
      <w:r w:rsidRPr="00EC54C0">
        <w:rPr>
          <w:rFonts w:asciiTheme="minorBidi" w:hAnsiTheme="minorBidi"/>
          <w:sz w:val="28"/>
          <w:szCs w:val="28"/>
        </w:rPr>
        <w:t>.</w:t>
      </w:r>
    </w:p>
    <w:p w:rsidR="00016FA7" w:rsidRPr="00E5497B" w:rsidRDefault="00016FA7" w:rsidP="00E5497B">
      <w:pPr>
        <w:spacing w:before="240" w:line="276" w:lineRule="auto"/>
        <w:ind w:firstLine="567"/>
        <w:jc w:val="both"/>
        <w:rPr>
          <w:rFonts w:asciiTheme="minorBidi" w:hAnsiTheme="minorBidi"/>
          <w:b/>
          <w:bCs/>
          <w:sz w:val="28"/>
          <w:szCs w:val="28"/>
          <w:u w:val="single"/>
        </w:rPr>
      </w:pPr>
      <w:r w:rsidRPr="00B60BD1">
        <w:rPr>
          <w:rFonts w:asciiTheme="minorBidi" w:hAnsiTheme="minorBidi"/>
          <w:b/>
          <w:bCs/>
          <w:sz w:val="28"/>
          <w:szCs w:val="28"/>
          <w:u w:val="single"/>
        </w:rPr>
        <w:t xml:space="preserve">2 – Consanguinity: </w:t>
      </w:r>
      <w:r w:rsidRPr="00EC54C0">
        <w:rPr>
          <w:rFonts w:asciiTheme="minorBidi" w:hAnsiTheme="minorBidi"/>
          <w:sz w:val="28"/>
          <w:szCs w:val="28"/>
        </w:rPr>
        <w:t xml:space="preserve">Ten patients (66.6 % of cases) </w:t>
      </w:r>
      <w:r w:rsidR="00934799">
        <w:rPr>
          <w:rFonts w:asciiTheme="minorBidi" w:hAnsiTheme="minorBidi"/>
          <w:sz w:val="28"/>
          <w:szCs w:val="28"/>
        </w:rPr>
        <w:t>have positive</w:t>
      </w:r>
      <w:r w:rsidRPr="00EC54C0">
        <w:rPr>
          <w:rFonts w:asciiTheme="minorBidi" w:hAnsiTheme="minorBidi"/>
          <w:sz w:val="28"/>
          <w:szCs w:val="28"/>
        </w:rPr>
        <w:t xml:space="preserve"> consanguineous marriage, while 5 patients (33.3% of cases) are products of non-consanguineous marriage.</w:t>
      </w:r>
    </w:p>
    <w:p w:rsidR="00041989" w:rsidRPr="00B60BD1" w:rsidRDefault="00016FA7" w:rsidP="00B60BD1">
      <w:pPr>
        <w:spacing w:before="240" w:line="276" w:lineRule="auto"/>
        <w:ind w:firstLine="567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noProof/>
          <w:sz w:val="28"/>
          <w:szCs w:val="28"/>
        </w:rPr>
        <w:drawing>
          <wp:inline distT="0" distB="0" distL="0" distR="0">
            <wp:extent cx="5210175" cy="3629025"/>
            <wp:effectExtent l="19050" t="0" r="9525" b="0"/>
            <wp:docPr id="11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601FB" w:rsidRDefault="0025475C" w:rsidP="00D601C6">
      <w:pPr>
        <w:spacing w:before="240" w:line="276" w:lineRule="auto"/>
        <w:ind w:firstLine="567"/>
        <w:rPr>
          <w:rFonts w:asciiTheme="minorBidi" w:hAnsiTheme="minorBidi"/>
          <w:b/>
          <w:bCs/>
          <w:sz w:val="28"/>
          <w:szCs w:val="28"/>
        </w:rPr>
      </w:pPr>
      <w:r w:rsidRPr="00EC54C0">
        <w:rPr>
          <w:rFonts w:asciiTheme="minorBidi" w:hAnsiTheme="minorBidi"/>
          <w:b/>
          <w:bCs/>
          <w:sz w:val="28"/>
          <w:szCs w:val="28"/>
        </w:rPr>
        <w:t>Figure (</w:t>
      </w:r>
      <w:r w:rsidR="00D601C6">
        <w:rPr>
          <w:rFonts w:asciiTheme="minorBidi" w:hAnsiTheme="minorBidi"/>
          <w:b/>
          <w:bCs/>
          <w:sz w:val="28"/>
          <w:szCs w:val="28"/>
        </w:rPr>
        <w:t>R</w:t>
      </w:r>
      <w:r w:rsidR="00AC4CA6">
        <w:rPr>
          <w:rFonts w:asciiTheme="minorBidi" w:hAnsiTheme="minorBidi"/>
          <w:b/>
          <w:bCs/>
          <w:sz w:val="28"/>
          <w:szCs w:val="28"/>
        </w:rPr>
        <w:t>-</w:t>
      </w:r>
      <w:r w:rsidR="00D601C6">
        <w:rPr>
          <w:rFonts w:asciiTheme="minorBidi" w:hAnsiTheme="minorBidi"/>
          <w:b/>
          <w:bCs/>
          <w:sz w:val="28"/>
          <w:szCs w:val="28"/>
        </w:rPr>
        <w:t>15</w:t>
      </w:r>
      <w:r w:rsidRPr="00EC54C0">
        <w:rPr>
          <w:rFonts w:asciiTheme="minorBidi" w:hAnsiTheme="minorBidi"/>
          <w:b/>
          <w:bCs/>
          <w:sz w:val="28"/>
          <w:szCs w:val="28"/>
        </w:rPr>
        <w:t>)</w:t>
      </w:r>
      <w:r w:rsidR="00B60BD1">
        <w:rPr>
          <w:rFonts w:asciiTheme="minorBidi" w:hAnsiTheme="minorBidi"/>
          <w:b/>
          <w:bCs/>
          <w:sz w:val="28"/>
          <w:szCs w:val="28"/>
        </w:rPr>
        <w:t>.</w:t>
      </w:r>
      <w:r w:rsidRPr="00EC54C0">
        <w:rPr>
          <w:rFonts w:asciiTheme="minorBidi" w:hAnsiTheme="minorBidi"/>
          <w:b/>
          <w:bCs/>
          <w:sz w:val="28"/>
          <w:szCs w:val="28"/>
        </w:rPr>
        <w:t xml:space="preserve"> Consanguinity in studied cases.</w:t>
      </w:r>
    </w:p>
    <w:p w:rsidR="00D601C6" w:rsidRPr="00EC54C0" w:rsidRDefault="00D601C6" w:rsidP="000469EB">
      <w:pPr>
        <w:spacing w:before="240" w:line="276" w:lineRule="auto"/>
        <w:ind w:firstLine="567"/>
        <w:rPr>
          <w:rFonts w:asciiTheme="minorBidi" w:hAnsiTheme="minorBidi"/>
          <w:b/>
          <w:bCs/>
          <w:sz w:val="28"/>
          <w:szCs w:val="28"/>
        </w:rPr>
      </w:pPr>
    </w:p>
    <w:p w:rsidR="00016FA7" w:rsidRPr="00B60BD1" w:rsidRDefault="00016FA7" w:rsidP="00B60BD1">
      <w:pPr>
        <w:spacing w:before="240" w:line="276" w:lineRule="auto"/>
        <w:ind w:firstLine="567"/>
        <w:jc w:val="both"/>
        <w:rPr>
          <w:rFonts w:asciiTheme="minorBidi" w:hAnsiTheme="minorBidi"/>
          <w:b/>
          <w:bCs/>
          <w:sz w:val="28"/>
          <w:szCs w:val="28"/>
          <w:u w:val="single"/>
        </w:rPr>
      </w:pPr>
      <w:r w:rsidRPr="00B60BD1">
        <w:rPr>
          <w:rFonts w:asciiTheme="minorBidi" w:hAnsiTheme="minorBidi"/>
          <w:b/>
          <w:bCs/>
          <w:sz w:val="28"/>
          <w:szCs w:val="28"/>
          <w:u w:val="single"/>
        </w:rPr>
        <w:lastRenderedPageBreak/>
        <w:t>3 – Drug history:</w:t>
      </w:r>
    </w:p>
    <w:p w:rsidR="00016FA7" w:rsidRPr="004A3212" w:rsidRDefault="009601FB" w:rsidP="00B60BD1">
      <w:pPr>
        <w:pStyle w:val="ListParagraph"/>
        <w:numPr>
          <w:ilvl w:val="0"/>
          <w:numId w:val="18"/>
        </w:numPr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4A3212">
        <w:rPr>
          <w:rFonts w:asciiTheme="minorBidi" w:hAnsiTheme="minorBidi"/>
          <w:b/>
          <w:bCs/>
          <w:sz w:val="28"/>
          <w:szCs w:val="28"/>
        </w:rPr>
        <w:t>Hypothyroidism</w:t>
      </w:r>
      <w:r w:rsidR="00016FA7" w:rsidRPr="004A3212">
        <w:rPr>
          <w:rFonts w:asciiTheme="minorBidi" w:hAnsiTheme="minorBidi"/>
          <w:b/>
          <w:bCs/>
          <w:sz w:val="28"/>
          <w:szCs w:val="28"/>
        </w:rPr>
        <w:t>:</w:t>
      </w:r>
    </w:p>
    <w:p w:rsidR="00016FA7" w:rsidRPr="00EC54C0" w:rsidRDefault="00016FA7" w:rsidP="00E5497B">
      <w:pPr>
        <w:spacing w:before="240" w:line="276" w:lineRule="auto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 xml:space="preserve">Eight patients (53.3% of cases) </w:t>
      </w:r>
      <w:r w:rsidR="00E5497B">
        <w:rPr>
          <w:rFonts w:asciiTheme="minorBidi" w:hAnsiTheme="minorBidi"/>
          <w:sz w:val="28"/>
          <w:szCs w:val="28"/>
        </w:rPr>
        <w:t>had</w:t>
      </w:r>
      <w:r w:rsidRPr="00EC54C0">
        <w:rPr>
          <w:rFonts w:asciiTheme="minorBidi" w:hAnsiTheme="minorBidi"/>
          <w:sz w:val="28"/>
          <w:szCs w:val="28"/>
        </w:rPr>
        <w:t xml:space="preserve"> hypothyroidism and receiving Thyroxin, while seven patients (46.7% of cases) has normal thyroid profile.</w:t>
      </w:r>
    </w:p>
    <w:p w:rsidR="00016FA7" w:rsidRPr="00B60BD1" w:rsidRDefault="00016FA7" w:rsidP="00B60BD1">
      <w:pPr>
        <w:pStyle w:val="ListParagraph"/>
        <w:numPr>
          <w:ilvl w:val="0"/>
          <w:numId w:val="18"/>
        </w:numPr>
        <w:tabs>
          <w:tab w:val="left" w:pos="5693"/>
        </w:tabs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4A3212">
        <w:rPr>
          <w:rFonts w:asciiTheme="minorBidi" w:hAnsiTheme="minorBidi"/>
          <w:b/>
          <w:bCs/>
          <w:sz w:val="28"/>
          <w:szCs w:val="28"/>
        </w:rPr>
        <w:t>Recombinant GH therapy:</w:t>
      </w:r>
    </w:p>
    <w:p w:rsidR="00016FA7" w:rsidRPr="00EC54C0" w:rsidRDefault="00016FA7" w:rsidP="00B60BD1">
      <w:pPr>
        <w:tabs>
          <w:tab w:val="left" w:pos="5693"/>
        </w:tabs>
        <w:spacing w:before="240" w:line="276" w:lineRule="auto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>Thirteen patients (86.7% of cases) are on GH therapy at the time of study, and only 2 patients (13.3% of cases) are not</w:t>
      </w:r>
      <w:r w:rsidR="00E5497B">
        <w:rPr>
          <w:rFonts w:asciiTheme="minorBidi" w:hAnsiTheme="minorBidi"/>
          <w:sz w:val="28"/>
          <w:szCs w:val="28"/>
        </w:rPr>
        <w:t xml:space="preserve"> (stopped receiving it)</w:t>
      </w:r>
      <w:r w:rsidRPr="00EC54C0">
        <w:rPr>
          <w:rFonts w:asciiTheme="minorBidi" w:hAnsiTheme="minorBidi"/>
          <w:sz w:val="28"/>
          <w:szCs w:val="28"/>
        </w:rPr>
        <w:t>.</w:t>
      </w:r>
    </w:p>
    <w:p w:rsidR="00016FA7" w:rsidRPr="00B60BD1" w:rsidRDefault="00016FA7" w:rsidP="00B60BD1">
      <w:pPr>
        <w:pStyle w:val="ListParagraph"/>
        <w:numPr>
          <w:ilvl w:val="0"/>
          <w:numId w:val="18"/>
        </w:numPr>
        <w:tabs>
          <w:tab w:val="left" w:pos="5693"/>
        </w:tabs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4A3212">
        <w:rPr>
          <w:rFonts w:asciiTheme="minorBidi" w:hAnsiTheme="minorBidi"/>
          <w:b/>
          <w:bCs/>
          <w:sz w:val="28"/>
          <w:szCs w:val="28"/>
        </w:rPr>
        <w:t>Hormone replacement therapy (HRT):</w:t>
      </w:r>
    </w:p>
    <w:p w:rsidR="00016FA7" w:rsidRPr="00EC54C0" w:rsidRDefault="00016FA7" w:rsidP="00B60BD1">
      <w:pPr>
        <w:tabs>
          <w:tab w:val="left" w:pos="5693"/>
        </w:tabs>
        <w:spacing w:before="240" w:line="276" w:lineRule="auto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>Five patients (33.3% of cases) are on HRT, while ten patients (66.6%) are not.</w:t>
      </w:r>
    </w:p>
    <w:p w:rsidR="00016FA7" w:rsidRPr="00EC54C0" w:rsidRDefault="00016FA7" w:rsidP="00B60BD1">
      <w:pPr>
        <w:tabs>
          <w:tab w:val="left" w:pos="5693"/>
        </w:tabs>
        <w:spacing w:before="240" w:line="276" w:lineRule="auto"/>
        <w:ind w:firstLine="567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noProof/>
          <w:sz w:val="28"/>
          <w:szCs w:val="28"/>
        </w:rPr>
        <w:drawing>
          <wp:inline distT="0" distB="0" distL="0" distR="0">
            <wp:extent cx="5486400" cy="3971925"/>
            <wp:effectExtent l="19050" t="0" r="19050" b="0"/>
            <wp:docPr id="12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601C6" w:rsidRPr="00FD1D4D" w:rsidRDefault="0025475C" w:rsidP="00D601C6">
      <w:pPr>
        <w:spacing w:before="240" w:line="276" w:lineRule="auto"/>
        <w:rPr>
          <w:rFonts w:asciiTheme="minorBidi" w:hAnsiTheme="minorBidi"/>
          <w:b/>
          <w:bCs/>
          <w:sz w:val="28"/>
          <w:szCs w:val="28"/>
        </w:rPr>
      </w:pPr>
      <w:r w:rsidRPr="00EC54C0">
        <w:rPr>
          <w:rFonts w:asciiTheme="minorBidi" w:hAnsiTheme="minorBidi"/>
          <w:b/>
          <w:bCs/>
          <w:sz w:val="28"/>
          <w:szCs w:val="28"/>
        </w:rPr>
        <w:t>Figure (</w:t>
      </w:r>
      <w:r w:rsidR="00D601C6">
        <w:rPr>
          <w:rFonts w:asciiTheme="minorBidi" w:hAnsiTheme="minorBidi"/>
          <w:b/>
          <w:bCs/>
          <w:sz w:val="28"/>
          <w:szCs w:val="28"/>
        </w:rPr>
        <w:t>R</w:t>
      </w:r>
      <w:r w:rsidR="00AC4CA6">
        <w:rPr>
          <w:rFonts w:asciiTheme="minorBidi" w:hAnsiTheme="minorBidi"/>
          <w:b/>
          <w:bCs/>
          <w:sz w:val="28"/>
          <w:szCs w:val="28"/>
        </w:rPr>
        <w:t>-</w:t>
      </w:r>
      <w:r w:rsidR="00D601C6">
        <w:rPr>
          <w:rFonts w:asciiTheme="minorBidi" w:hAnsiTheme="minorBidi"/>
          <w:b/>
          <w:bCs/>
          <w:sz w:val="28"/>
          <w:szCs w:val="28"/>
        </w:rPr>
        <w:t>16</w:t>
      </w:r>
      <w:r w:rsidRPr="00EC54C0">
        <w:rPr>
          <w:rFonts w:asciiTheme="minorBidi" w:hAnsiTheme="minorBidi"/>
          <w:b/>
          <w:bCs/>
          <w:sz w:val="28"/>
          <w:szCs w:val="28"/>
        </w:rPr>
        <w:t>)</w:t>
      </w:r>
      <w:r w:rsidR="00B60BD1">
        <w:rPr>
          <w:rFonts w:asciiTheme="minorBidi" w:hAnsiTheme="minorBidi"/>
          <w:b/>
          <w:bCs/>
          <w:sz w:val="28"/>
          <w:szCs w:val="28"/>
        </w:rPr>
        <w:t>.</w:t>
      </w:r>
      <w:r w:rsidRPr="00EC54C0">
        <w:rPr>
          <w:rFonts w:asciiTheme="minorBidi" w:hAnsiTheme="minorBidi"/>
          <w:b/>
          <w:bCs/>
          <w:sz w:val="28"/>
          <w:szCs w:val="28"/>
        </w:rPr>
        <w:t xml:space="preserve"> Medication history of studied cases.</w:t>
      </w:r>
    </w:p>
    <w:p w:rsidR="00016FA7" w:rsidRPr="00DD3C84" w:rsidRDefault="00016FA7" w:rsidP="00DD3C84">
      <w:pPr>
        <w:pStyle w:val="ListParagraph"/>
        <w:numPr>
          <w:ilvl w:val="0"/>
          <w:numId w:val="9"/>
        </w:numPr>
        <w:shd w:val="clear" w:color="auto" w:fill="BFBFBF" w:themeFill="background1" w:themeFillShade="BF"/>
        <w:spacing w:before="240" w:line="276" w:lineRule="auto"/>
        <w:rPr>
          <w:rFonts w:asciiTheme="minorBidi" w:hAnsiTheme="minorBidi"/>
          <w:b/>
          <w:bCs/>
          <w:sz w:val="32"/>
          <w:szCs w:val="32"/>
        </w:rPr>
      </w:pPr>
      <w:r w:rsidRPr="00DD3C84">
        <w:rPr>
          <w:rFonts w:asciiTheme="minorBidi" w:hAnsiTheme="minorBidi"/>
          <w:b/>
          <w:bCs/>
          <w:sz w:val="32"/>
          <w:szCs w:val="32"/>
        </w:rPr>
        <w:lastRenderedPageBreak/>
        <w:t>General examination:</w:t>
      </w:r>
    </w:p>
    <w:p w:rsidR="00AF4085" w:rsidRPr="00B60BD1" w:rsidRDefault="00016FA7" w:rsidP="00B60BD1">
      <w:pPr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  <w:u w:val="single"/>
        </w:rPr>
      </w:pPr>
      <w:r w:rsidRPr="00B60BD1">
        <w:rPr>
          <w:rFonts w:asciiTheme="minorBidi" w:hAnsiTheme="minorBidi"/>
          <w:b/>
          <w:bCs/>
          <w:sz w:val="28"/>
          <w:szCs w:val="28"/>
          <w:u w:val="single"/>
        </w:rPr>
        <w:t>1</w:t>
      </w:r>
      <w:r w:rsidR="00726FAF" w:rsidRPr="00B60BD1">
        <w:rPr>
          <w:rFonts w:asciiTheme="minorBidi" w:hAnsiTheme="minorBidi"/>
          <w:b/>
          <w:bCs/>
          <w:sz w:val="28"/>
          <w:szCs w:val="28"/>
          <w:u w:val="single"/>
        </w:rPr>
        <w:t xml:space="preserve"> </w:t>
      </w:r>
      <w:r w:rsidR="00BC2DBA" w:rsidRPr="00B60BD1">
        <w:rPr>
          <w:rFonts w:asciiTheme="minorBidi" w:hAnsiTheme="minorBidi"/>
          <w:b/>
          <w:bCs/>
          <w:sz w:val="28"/>
          <w:szCs w:val="28"/>
          <w:u w:val="single"/>
        </w:rPr>
        <w:t>–</w:t>
      </w:r>
      <w:r w:rsidR="00726FAF" w:rsidRPr="00B60BD1">
        <w:rPr>
          <w:rFonts w:asciiTheme="minorBidi" w:hAnsiTheme="minorBidi"/>
          <w:b/>
          <w:bCs/>
          <w:sz w:val="28"/>
          <w:szCs w:val="28"/>
          <w:u w:val="single"/>
        </w:rPr>
        <w:t xml:space="preserve"> Height</w:t>
      </w:r>
      <w:r w:rsidR="00BC2DBA" w:rsidRPr="00B60BD1">
        <w:rPr>
          <w:rFonts w:asciiTheme="minorBidi" w:hAnsiTheme="minorBidi"/>
          <w:b/>
          <w:bCs/>
          <w:sz w:val="28"/>
          <w:szCs w:val="28"/>
          <w:u w:val="single"/>
        </w:rPr>
        <w:t>:</w:t>
      </w:r>
    </w:p>
    <w:p w:rsidR="00AF4085" w:rsidRPr="00EC54C0" w:rsidRDefault="00751F89" w:rsidP="00E5497B">
      <w:pPr>
        <w:spacing w:before="240" w:line="276" w:lineRule="auto"/>
        <w:ind w:firstLine="567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 xml:space="preserve">When blotting </w:t>
      </w:r>
      <w:r>
        <w:rPr>
          <w:rFonts w:asciiTheme="minorBidi" w:hAnsiTheme="minorBidi"/>
          <w:sz w:val="28"/>
          <w:szCs w:val="28"/>
        </w:rPr>
        <w:t>cases</w:t>
      </w:r>
      <w:r w:rsidRPr="00EC54C0">
        <w:rPr>
          <w:rFonts w:asciiTheme="minorBidi" w:hAnsiTheme="minorBidi"/>
          <w:sz w:val="28"/>
          <w:szCs w:val="28"/>
        </w:rPr>
        <w:t xml:space="preserve"> on </w:t>
      </w:r>
      <w:r>
        <w:rPr>
          <w:rFonts w:asciiTheme="minorBidi" w:hAnsiTheme="minorBidi"/>
          <w:sz w:val="28"/>
          <w:szCs w:val="28"/>
        </w:rPr>
        <w:t xml:space="preserve">the normal </w:t>
      </w:r>
      <w:r w:rsidRPr="00EC54C0">
        <w:rPr>
          <w:rFonts w:asciiTheme="minorBidi" w:hAnsiTheme="minorBidi"/>
          <w:sz w:val="28"/>
          <w:szCs w:val="28"/>
        </w:rPr>
        <w:t>Egyptian female height growth chart</w:t>
      </w:r>
      <w:r>
        <w:rPr>
          <w:rFonts w:asciiTheme="minorBidi" w:hAnsiTheme="minorBidi"/>
          <w:sz w:val="28"/>
          <w:szCs w:val="28"/>
        </w:rPr>
        <w:t xml:space="preserve"> all cases were below the 10</w:t>
      </w:r>
      <w:r w:rsidRPr="00751F89">
        <w:rPr>
          <w:rFonts w:asciiTheme="minorBidi" w:hAnsiTheme="minorBidi"/>
          <w:sz w:val="28"/>
          <w:szCs w:val="28"/>
          <w:vertAlign w:val="superscript"/>
        </w:rPr>
        <w:t>th</w:t>
      </w:r>
      <w:r>
        <w:rPr>
          <w:rFonts w:asciiTheme="minorBidi" w:hAnsiTheme="minorBidi"/>
          <w:sz w:val="28"/>
          <w:szCs w:val="28"/>
        </w:rPr>
        <w:t xml:space="preserve"> centile ,</w:t>
      </w:r>
      <w:r w:rsidRPr="00EC54C0">
        <w:rPr>
          <w:rFonts w:asciiTheme="minorBidi" w:hAnsiTheme="minorBidi"/>
          <w:sz w:val="28"/>
          <w:szCs w:val="28"/>
        </w:rPr>
        <w:t xml:space="preserve"> 6 cases (40%) are below 3</w:t>
      </w:r>
      <w:r w:rsidRPr="00EC54C0">
        <w:rPr>
          <w:rFonts w:asciiTheme="minorBidi" w:hAnsiTheme="minorBidi"/>
          <w:sz w:val="28"/>
          <w:szCs w:val="28"/>
          <w:vertAlign w:val="superscript"/>
        </w:rPr>
        <w:t>rd</w:t>
      </w:r>
      <w:r w:rsidRPr="00EC54C0">
        <w:rPr>
          <w:rFonts w:asciiTheme="minorBidi" w:hAnsiTheme="minorBidi"/>
          <w:sz w:val="28"/>
          <w:szCs w:val="28"/>
        </w:rPr>
        <w:t xml:space="preserve"> centile and </w:t>
      </w:r>
      <w:r>
        <w:rPr>
          <w:rFonts w:asciiTheme="minorBidi" w:hAnsiTheme="minorBidi"/>
          <w:sz w:val="28"/>
          <w:szCs w:val="28"/>
        </w:rPr>
        <w:t>6</w:t>
      </w:r>
      <w:r w:rsidRPr="00EC54C0">
        <w:rPr>
          <w:rFonts w:asciiTheme="minorBidi" w:hAnsiTheme="minorBidi"/>
          <w:sz w:val="28"/>
          <w:szCs w:val="28"/>
        </w:rPr>
        <w:t xml:space="preserve"> cases (</w:t>
      </w:r>
      <w:r>
        <w:rPr>
          <w:rFonts w:asciiTheme="minorBidi" w:hAnsiTheme="minorBidi"/>
          <w:sz w:val="28"/>
          <w:szCs w:val="28"/>
        </w:rPr>
        <w:t>4</w:t>
      </w:r>
      <w:r w:rsidRPr="00EC54C0">
        <w:rPr>
          <w:rFonts w:asciiTheme="minorBidi" w:hAnsiTheme="minorBidi"/>
          <w:sz w:val="28"/>
          <w:szCs w:val="28"/>
        </w:rPr>
        <w:t xml:space="preserve">0%) </w:t>
      </w:r>
      <w:r>
        <w:rPr>
          <w:rFonts w:asciiTheme="minorBidi" w:hAnsiTheme="minorBidi"/>
          <w:sz w:val="28"/>
          <w:szCs w:val="28"/>
        </w:rPr>
        <w:t>between 3</w:t>
      </w:r>
      <w:r w:rsidRPr="00751F89">
        <w:rPr>
          <w:rFonts w:asciiTheme="minorBidi" w:hAnsiTheme="minorBidi"/>
          <w:sz w:val="28"/>
          <w:szCs w:val="28"/>
          <w:vertAlign w:val="superscript"/>
        </w:rPr>
        <w:t>rd</w:t>
      </w:r>
      <w:r>
        <w:rPr>
          <w:rFonts w:asciiTheme="minorBidi" w:hAnsiTheme="minorBidi"/>
          <w:sz w:val="28"/>
          <w:szCs w:val="28"/>
        </w:rPr>
        <w:t xml:space="preserve"> and </w:t>
      </w:r>
      <w:r w:rsidRPr="00EC54C0">
        <w:rPr>
          <w:rFonts w:asciiTheme="minorBidi" w:hAnsiTheme="minorBidi"/>
          <w:sz w:val="28"/>
          <w:szCs w:val="28"/>
        </w:rPr>
        <w:t>5</w:t>
      </w:r>
      <w:r w:rsidRPr="00EC54C0">
        <w:rPr>
          <w:rFonts w:asciiTheme="minorBidi" w:hAnsiTheme="minorBidi"/>
          <w:sz w:val="28"/>
          <w:szCs w:val="28"/>
          <w:vertAlign w:val="superscript"/>
        </w:rPr>
        <w:t>th</w:t>
      </w:r>
      <w:r w:rsidRPr="00EC54C0">
        <w:rPr>
          <w:rFonts w:asciiTheme="minorBidi" w:hAnsiTheme="minorBidi"/>
          <w:sz w:val="28"/>
          <w:szCs w:val="28"/>
        </w:rPr>
        <w:t xml:space="preserve"> centile</w:t>
      </w:r>
      <w:r>
        <w:rPr>
          <w:rFonts w:asciiTheme="minorBidi" w:hAnsiTheme="minorBidi"/>
          <w:sz w:val="28"/>
          <w:szCs w:val="28"/>
        </w:rPr>
        <w:t xml:space="preserve">, and </w:t>
      </w:r>
      <w:r w:rsidR="00E5497B">
        <w:rPr>
          <w:rFonts w:asciiTheme="minorBidi" w:hAnsiTheme="minorBidi"/>
          <w:sz w:val="28"/>
          <w:szCs w:val="28"/>
        </w:rPr>
        <w:t>3</w:t>
      </w:r>
      <w:r>
        <w:rPr>
          <w:rFonts w:asciiTheme="minorBidi" w:hAnsiTheme="minorBidi"/>
          <w:sz w:val="28"/>
          <w:szCs w:val="28"/>
        </w:rPr>
        <w:t xml:space="preserve"> cases(20%) are between 5</w:t>
      </w:r>
      <w:r w:rsidRPr="00751F89">
        <w:rPr>
          <w:rFonts w:asciiTheme="minorBidi" w:hAnsiTheme="minorBidi"/>
          <w:sz w:val="28"/>
          <w:szCs w:val="28"/>
          <w:vertAlign w:val="superscript"/>
        </w:rPr>
        <w:t>th</w:t>
      </w:r>
      <w:r>
        <w:rPr>
          <w:rFonts w:asciiTheme="minorBidi" w:hAnsiTheme="minorBidi"/>
          <w:sz w:val="28"/>
          <w:szCs w:val="28"/>
        </w:rPr>
        <w:t xml:space="preserve"> and 10</w:t>
      </w:r>
      <w:r w:rsidRPr="00751F89">
        <w:rPr>
          <w:rFonts w:asciiTheme="minorBidi" w:hAnsiTheme="minorBidi"/>
          <w:sz w:val="28"/>
          <w:szCs w:val="28"/>
          <w:vertAlign w:val="superscript"/>
        </w:rPr>
        <w:t>th</w:t>
      </w:r>
      <w:r>
        <w:rPr>
          <w:rFonts w:asciiTheme="minorBidi" w:hAnsiTheme="minorBidi"/>
          <w:sz w:val="28"/>
          <w:szCs w:val="28"/>
        </w:rPr>
        <w:t xml:space="preserve"> centile</w:t>
      </w:r>
      <w:r w:rsidRPr="00EC54C0">
        <w:rPr>
          <w:rFonts w:asciiTheme="minorBidi" w:hAnsiTheme="minorBidi"/>
          <w:sz w:val="28"/>
          <w:szCs w:val="28"/>
        </w:rPr>
        <w:t>.</w:t>
      </w:r>
      <w:r w:rsidR="00914F5F" w:rsidRPr="00EC54C0">
        <w:rPr>
          <w:rFonts w:asciiTheme="minorBidi" w:hAnsiTheme="minorBidi"/>
          <w:sz w:val="28"/>
          <w:szCs w:val="28"/>
        </w:rPr>
        <w:t xml:space="preserve"> </w:t>
      </w:r>
    </w:p>
    <w:p w:rsidR="00AF4085" w:rsidRPr="00EC54C0" w:rsidRDefault="00751F89" w:rsidP="00751F89">
      <w:pPr>
        <w:spacing w:before="240" w:line="276" w:lineRule="auto"/>
        <w:ind w:firstLine="567"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Meanwhile, when</w:t>
      </w:r>
      <w:r w:rsidR="00A44BD4" w:rsidRPr="00EC54C0">
        <w:rPr>
          <w:rFonts w:asciiTheme="minorBidi" w:hAnsiTheme="minorBidi"/>
          <w:sz w:val="28"/>
          <w:szCs w:val="28"/>
        </w:rPr>
        <w:t xml:space="preserve"> blotting their heights on TS stature centiles,</w:t>
      </w:r>
      <w:r w:rsidR="0080721D" w:rsidRPr="00EC54C0">
        <w:rPr>
          <w:rFonts w:asciiTheme="minorBidi" w:hAnsiTheme="minorBidi"/>
          <w:sz w:val="28"/>
          <w:szCs w:val="28"/>
        </w:rPr>
        <w:t>20% of cases are located between 75</w:t>
      </w:r>
      <w:r w:rsidR="0080721D" w:rsidRPr="00EC54C0">
        <w:rPr>
          <w:rFonts w:asciiTheme="minorBidi" w:hAnsiTheme="minorBidi"/>
          <w:sz w:val="28"/>
          <w:szCs w:val="28"/>
          <w:vertAlign w:val="superscript"/>
        </w:rPr>
        <w:t>th</w:t>
      </w:r>
      <w:r w:rsidR="0080721D" w:rsidRPr="00EC54C0">
        <w:rPr>
          <w:rFonts w:asciiTheme="minorBidi" w:hAnsiTheme="minorBidi"/>
          <w:sz w:val="28"/>
          <w:szCs w:val="28"/>
        </w:rPr>
        <w:t xml:space="preserve"> and 90</w:t>
      </w:r>
      <w:r w:rsidR="0080721D" w:rsidRPr="00EC54C0">
        <w:rPr>
          <w:rFonts w:asciiTheme="minorBidi" w:hAnsiTheme="minorBidi"/>
          <w:sz w:val="28"/>
          <w:szCs w:val="28"/>
          <w:vertAlign w:val="superscript"/>
        </w:rPr>
        <w:t>th</w:t>
      </w:r>
      <w:r w:rsidR="0080721D" w:rsidRPr="00EC54C0">
        <w:rPr>
          <w:rFonts w:asciiTheme="minorBidi" w:hAnsiTheme="minorBidi"/>
          <w:sz w:val="28"/>
          <w:szCs w:val="28"/>
        </w:rPr>
        <w:t xml:space="preserve"> centile, another 20% of cases are on the 50</w:t>
      </w:r>
      <w:r w:rsidR="0080721D" w:rsidRPr="00EC54C0">
        <w:rPr>
          <w:rFonts w:asciiTheme="minorBidi" w:hAnsiTheme="minorBidi"/>
          <w:sz w:val="28"/>
          <w:szCs w:val="28"/>
          <w:vertAlign w:val="superscript"/>
        </w:rPr>
        <w:t>th</w:t>
      </w:r>
      <w:r w:rsidR="0080721D" w:rsidRPr="00EC54C0">
        <w:rPr>
          <w:rFonts w:asciiTheme="minorBidi" w:hAnsiTheme="minorBidi"/>
          <w:sz w:val="28"/>
          <w:szCs w:val="28"/>
        </w:rPr>
        <w:t xml:space="preserve"> centile,</w:t>
      </w:r>
      <w:r w:rsidR="00080B94" w:rsidRPr="00EC54C0">
        <w:rPr>
          <w:rFonts w:asciiTheme="minorBidi" w:hAnsiTheme="minorBidi"/>
          <w:sz w:val="28"/>
          <w:szCs w:val="28"/>
        </w:rPr>
        <w:t>13.3% above 95</w:t>
      </w:r>
      <w:r w:rsidR="00080B94" w:rsidRPr="00EC54C0">
        <w:rPr>
          <w:rFonts w:asciiTheme="minorBidi" w:hAnsiTheme="minorBidi"/>
          <w:sz w:val="28"/>
          <w:szCs w:val="28"/>
          <w:vertAlign w:val="superscript"/>
        </w:rPr>
        <w:t>th</w:t>
      </w:r>
      <w:r w:rsidR="00080B94" w:rsidRPr="00EC54C0">
        <w:rPr>
          <w:rFonts w:asciiTheme="minorBidi" w:hAnsiTheme="minorBidi"/>
          <w:sz w:val="28"/>
          <w:szCs w:val="28"/>
        </w:rPr>
        <w:t xml:space="preserve"> centile, </w:t>
      </w:r>
      <w:r w:rsidR="0080721D" w:rsidRPr="00EC54C0">
        <w:rPr>
          <w:rFonts w:asciiTheme="minorBidi" w:hAnsiTheme="minorBidi"/>
          <w:sz w:val="28"/>
          <w:szCs w:val="28"/>
        </w:rPr>
        <w:t>1</w:t>
      </w:r>
      <w:r w:rsidR="00080B94" w:rsidRPr="00EC54C0">
        <w:rPr>
          <w:rFonts w:asciiTheme="minorBidi" w:hAnsiTheme="minorBidi"/>
          <w:sz w:val="28"/>
          <w:szCs w:val="28"/>
        </w:rPr>
        <w:t>3.</w:t>
      </w:r>
      <w:r w:rsidR="0080721D" w:rsidRPr="00EC54C0">
        <w:rPr>
          <w:rFonts w:asciiTheme="minorBidi" w:hAnsiTheme="minorBidi"/>
          <w:sz w:val="28"/>
          <w:szCs w:val="28"/>
        </w:rPr>
        <w:t>3% on the 90</w:t>
      </w:r>
      <w:r w:rsidR="0080721D" w:rsidRPr="00EC54C0">
        <w:rPr>
          <w:rFonts w:asciiTheme="minorBidi" w:hAnsiTheme="minorBidi"/>
          <w:sz w:val="28"/>
          <w:szCs w:val="28"/>
          <w:vertAlign w:val="superscript"/>
        </w:rPr>
        <w:t>th</w:t>
      </w:r>
      <w:r w:rsidR="0080721D" w:rsidRPr="00EC54C0">
        <w:rPr>
          <w:rFonts w:asciiTheme="minorBidi" w:hAnsiTheme="minorBidi"/>
          <w:sz w:val="28"/>
          <w:szCs w:val="28"/>
        </w:rPr>
        <w:t xml:space="preserve"> centile, 13</w:t>
      </w:r>
      <w:r w:rsidR="00080B94" w:rsidRPr="00EC54C0">
        <w:rPr>
          <w:rFonts w:asciiTheme="minorBidi" w:hAnsiTheme="minorBidi"/>
          <w:sz w:val="28"/>
          <w:szCs w:val="28"/>
        </w:rPr>
        <w:t>.3</w:t>
      </w:r>
      <w:r w:rsidR="0080721D" w:rsidRPr="00EC54C0">
        <w:rPr>
          <w:rFonts w:asciiTheme="minorBidi" w:hAnsiTheme="minorBidi"/>
          <w:sz w:val="28"/>
          <w:szCs w:val="28"/>
        </w:rPr>
        <w:t>% on the 75</w:t>
      </w:r>
      <w:r w:rsidR="0080721D" w:rsidRPr="00EC54C0">
        <w:rPr>
          <w:rFonts w:asciiTheme="minorBidi" w:hAnsiTheme="minorBidi"/>
          <w:sz w:val="28"/>
          <w:szCs w:val="28"/>
          <w:vertAlign w:val="superscript"/>
        </w:rPr>
        <w:t>th</w:t>
      </w:r>
      <w:r w:rsidR="0080721D" w:rsidRPr="00EC54C0">
        <w:rPr>
          <w:rFonts w:asciiTheme="minorBidi" w:hAnsiTheme="minorBidi"/>
          <w:sz w:val="28"/>
          <w:szCs w:val="28"/>
        </w:rPr>
        <w:t xml:space="preserve"> centile,</w:t>
      </w:r>
      <w:r w:rsidR="001F7159" w:rsidRPr="00EC54C0">
        <w:rPr>
          <w:rFonts w:asciiTheme="minorBidi" w:hAnsiTheme="minorBidi"/>
          <w:sz w:val="28"/>
          <w:szCs w:val="28"/>
        </w:rPr>
        <w:t xml:space="preserve"> 6.7% are on the 10</w:t>
      </w:r>
      <w:r w:rsidR="001F7159" w:rsidRPr="00EC54C0">
        <w:rPr>
          <w:rFonts w:asciiTheme="minorBidi" w:hAnsiTheme="minorBidi"/>
          <w:sz w:val="28"/>
          <w:szCs w:val="28"/>
          <w:vertAlign w:val="superscript"/>
        </w:rPr>
        <w:t>th</w:t>
      </w:r>
      <w:r w:rsidR="001F7159" w:rsidRPr="00EC54C0">
        <w:rPr>
          <w:rFonts w:asciiTheme="minorBidi" w:hAnsiTheme="minorBidi"/>
          <w:sz w:val="28"/>
          <w:szCs w:val="28"/>
        </w:rPr>
        <w:t xml:space="preserve"> centile,</w:t>
      </w:r>
      <w:r w:rsidR="0080721D" w:rsidRPr="00EC54C0">
        <w:rPr>
          <w:rFonts w:asciiTheme="minorBidi" w:hAnsiTheme="minorBidi"/>
          <w:sz w:val="28"/>
          <w:szCs w:val="28"/>
        </w:rPr>
        <w:t xml:space="preserve"> </w:t>
      </w:r>
      <w:r w:rsidR="00080B94" w:rsidRPr="00EC54C0">
        <w:rPr>
          <w:rFonts w:asciiTheme="minorBidi" w:hAnsiTheme="minorBidi"/>
          <w:sz w:val="28"/>
          <w:szCs w:val="28"/>
        </w:rPr>
        <w:t>6.</w:t>
      </w:r>
      <w:r w:rsidR="0080721D" w:rsidRPr="00EC54C0">
        <w:rPr>
          <w:rFonts w:asciiTheme="minorBidi" w:hAnsiTheme="minorBidi"/>
          <w:sz w:val="28"/>
          <w:szCs w:val="28"/>
        </w:rPr>
        <w:t xml:space="preserve">7% </w:t>
      </w:r>
      <w:r w:rsidR="00080B94" w:rsidRPr="00EC54C0">
        <w:rPr>
          <w:rFonts w:asciiTheme="minorBidi" w:hAnsiTheme="minorBidi"/>
          <w:sz w:val="28"/>
          <w:szCs w:val="28"/>
        </w:rPr>
        <w:t>between 10</w:t>
      </w:r>
      <w:r w:rsidR="00080B94" w:rsidRPr="00EC54C0">
        <w:rPr>
          <w:rFonts w:asciiTheme="minorBidi" w:hAnsiTheme="minorBidi"/>
          <w:sz w:val="28"/>
          <w:szCs w:val="28"/>
          <w:vertAlign w:val="superscript"/>
        </w:rPr>
        <w:t>th</w:t>
      </w:r>
      <w:r w:rsidR="00080B94" w:rsidRPr="00EC54C0">
        <w:rPr>
          <w:rFonts w:asciiTheme="minorBidi" w:hAnsiTheme="minorBidi"/>
          <w:sz w:val="28"/>
          <w:szCs w:val="28"/>
        </w:rPr>
        <w:t xml:space="preserve"> and 25</w:t>
      </w:r>
      <w:r w:rsidR="00080B94" w:rsidRPr="00EC54C0">
        <w:rPr>
          <w:rFonts w:asciiTheme="minorBidi" w:hAnsiTheme="minorBidi"/>
          <w:sz w:val="28"/>
          <w:szCs w:val="28"/>
          <w:vertAlign w:val="superscript"/>
        </w:rPr>
        <w:t>th</w:t>
      </w:r>
      <w:r w:rsidR="001F7159" w:rsidRPr="00EC54C0">
        <w:rPr>
          <w:rFonts w:asciiTheme="minorBidi" w:hAnsiTheme="minorBidi"/>
          <w:sz w:val="28"/>
          <w:szCs w:val="28"/>
        </w:rPr>
        <w:t xml:space="preserve"> and</w:t>
      </w:r>
      <w:r w:rsidR="00080B94" w:rsidRPr="00EC54C0">
        <w:rPr>
          <w:rFonts w:asciiTheme="minorBidi" w:hAnsiTheme="minorBidi"/>
          <w:sz w:val="28"/>
          <w:szCs w:val="28"/>
        </w:rPr>
        <w:t xml:space="preserve"> 6.7% on the 9</w:t>
      </w:r>
      <w:r w:rsidR="001F7159" w:rsidRPr="00EC54C0">
        <w:rPr>
          <w:rFonts w:asciiTheme="minorBidi" w:hAnsiTheme="minorBidi"/>
          <w:sz w:val="28"/>
          <w:szCs w:val="28"/>
        </w:rPr>
        <w:t>5</w:t>
      </w:r>
      <w:r w:rsidR="00080B94" w:rsidRPr="00EC54C0">
        <w:rPr>
          <w:rFonts w:asciiTheme="minorBidi" w:hAnsiTheme="minorBidi"/>
          <w:sz w:val="28"/>
          <w:szCs w:val="28"/>
          <w:vertAlign w:val="superscript"/>
        </w:rPr>
        <w:t>th</w:t>
      </w:r>
      <w:r w:rsidR="00080B94" w:rsidRPr="00EC54C0">
        <w:rPr>
          <w:rFonts w:asciiTheme="minorBidi" w:hAnsiTheme="minorBidi"/>
          <w:sz w:val="28"/>
          <w:szCs w:val="28"/>
        </w:rPr>
        <w:t xml:space="preserve"> centile</w:t>
      </w:r>
      <w:r>
        <w:rPr>
          <w:rFonts w:asciiTheme="minorBidi" w:hAnsiTheme="minorBidi"/>
          <w:sz w:val="28"/>
          <w:szCs w:val="28"/>
        </w:rPr>
        <w:t>.</w:t>
      </w:r>
    </w:p>
    <w:p w:rsidR="00AC0353" w:rsidRPr="00B60BD1" w:rsidRDefault="00A44BD4" w:rsidP="00FD1D4D">
      <w:pPr>
        <w:spacing w:before="240" w:line="276" w:lineRule="auto"/>
        <w:ind w:firstLine="567"/>
        <w:rPr>
          <w:rFonts w:asciiTheme="minorBidi" w:hAnsiTheme="minorBidi"/>
          <w:sz w:val="28"/>
          <w:szCs w:val="28"/>
        </w:rPr>
      </w:pPr>
      <w:r w:rsidRPr="00FD1D4D">
        <w:rPr>
          <w:rFonts w:asciiTheme="minorBidi" w:hAnsiTheme="minorBidi"/>
          <w:b/>
          <w:bCs/>
          <w:noProof/>
          <w:sz w:val="44"/>
          <w:szCs w:val="44"/>
        </w:rPr>
        <w:drawing>
          <wp:inline distT="0" distB="0" distL="0" distR="0">
            <wp:extent cx="5010150" cy="3371850"/>
            <wp:effectExtent l="19050" t="0" r="19050" b="0"/>
            <wp:docPr id="9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D5151" w:rsidRPr="008A4249" w:rsidRDefault="0025475C" w:rsidP="00E5497B">
      <w:pPr>
        <w:spacing w:before="240" w:line="276" w:lineRule="auto"/>
        <w:ind w:firstLine="567"/>
        <w:rPr>
          <w:rFonts w:asciiTheme="minorBidi" w:hAnsiTheme="minorBidi"/>
          <w:b/>
          <w:bCs/>
          <w:sz w:val="28"/>
          <w:szCs w:val="28"/>
        </w:rPr>
      </w:pPr>
      <w:r w:rsidRPr="00EC54C0">
        <w:rPr>
          <w:rFonts w:asciiTheme="minorBidi" w:hAnsiTheme="minorBidi"/>
          <w:b/>
          <w:bCs/>
          <w:sz w:val="28"/>
          <w:szCs w:val="28"/>
        </w:rPr>
        <w:t>Figure (</w:t>
      </w:r>
      <w:r w:rsidR="00E5497B">
        <w:rPr>
          <w:rFonts w:asciiTheme="minorBidi" w:hAnsiTheme="minorBidi"/>
          <w:b/>
          <w:bCs/>
          <w:sz w:val="28"/>
          <w:szCs w:val="28"/>
        </w:rPr>
        <w:t>R</w:t>
      </w:r>
      <w:r w:rsidR="00AC4CA6">
        <w:rPr>
          <w:rFonts w:asciiTheme="minorBidi" w:hAnsiTheme="minorBidi"/>
          <w:b/>
          <w:bCs/>
          <w:sz w:val="28"/>
          <w:szCs w:val="28"/>
        </w:rPr>
        <w:t>-</w:t>
      </w:r>
      <w:r w:rsidR="00E5497B">
        <w:rPr>
          <w:rFonts w:asciiTheme="minorBidi" w:hAnsiTheme="minorBidi"/>
          <w:b/>
          <w:bCs/>
          <w:sz w:val="28"/>
          <w:szCs w:val="28"/>
        </w:rPr>
        <w:t>17</w:t>
      </w:r>
      <w:r w:rsidRPr="00EC54C0">
        <w:rPr>
          <w:rFonts w:asciiTheme="minorBidi" w:hAnsiTheme="minorBidi"/>
          <w:b/>
          <w:bCs/>
          <w:sz w:val="28"/>
          <w:szCs w:val="28"/>
        </w:rPr>
        <w:t>)</w:t>
      </w:r>
      <w:r w:rsidR="00B60BD1">
        <w:rPr>
          <w:rFonts w:asciiTheme="minorBidi" w:hAnsiTheme="minorBidi"/>
          <w:b/>
          <w:bCs/>
          <w:sz w:val="28"/>
          <w:szCs w:val="28"/>
        </w:rPr>
        <w:t>.</w:t>
      </w:r>
      <w:r w:rsidRPr="00EC54C0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3C2827" w:rsidRPr="00EC54C0">
        <w:rPr>
          <w:rFonts w:asciiTheme="minorBidi" w:hAnsiTheme="minorBidi"/>
          <w:b/>
          <w:bCs/>
          <w:sz w:val="28"/>
          <w:szCs w:val="28"/>
        </w:rPr>
        <w:t xml:space="preserve">Stature centiles of </w:t>
      </w:r>
      <w:r w:rsidR="009601FB" w:rsidRPr="00EC54C0">
        <w:rPr>
          <w:rFonts w:asciiTheme="minorBidi" w:hAnsiTheme="minorBidi"/>
          <w:b/>
          <w:bCs/>
          <w:sz w:val="28"/>
          <w:szCs w:val="28"/>
        </w:rPr>
        <w:t>studied</w:t>
      </w:r>
      <w:r w:rsidR="003C2827" w:rsidRPr="00EC54C0">
        <w:rPr>
          <w:rFonts w:asciiTheme="minorBidi" w:hAnsiTheme="minorBidi"/>
          <w:b/>
          <w:bCs/>
          <w:sz w:val="28"/>
          <w:szCs w:val="28"/>
        </w:rPr>
        <w:t xml:space="preserve"> cases</w:t>
      </w:r>
      <w:r w:rsidR="00EA5504">
        <w:rPr>
          <w:rFonts w:asciiTheme="minorBidi" w:hAnsiTheme="minorBidi"/>
          <w:b/>
          <w:bCs/>
          <w:sz w:val="28"/>
          <w:szCs w:val="28"/>
        </w:rPr>
        <w:t xml:space="preserve"> when blotted on </w:t>
      </w:r>
      <w:r w:rsidR="00751F89">
        <w:rPr>
          <w:rFonts w:asciiTheme="minorBidi" w:hAnsiTheme="minorBidi"/>
          <w:b/>
          <w:bCs/>
          <w:sz w:val="28"/>
          <w:szCs w:val="28"/>
        </w:rPr>
        <w:t>TS stature</w:t>
      </w:r>
      <w:r w:rsidR="00EA5504">
        <w:rPr>
          <w:rFonts w:asciiTheme="minorBidi" w:hAnsiTheme="minorBidi"/>
          <w:b/>
          <w:bCs/>
          <w:sz w:val="28"/>
          <w:szCs w:val="28"/>
        </w:rPr>
        <w:t xml:space="preserve"> curves</w:t>
      </w:r>
      <w:r w:rsidR="003C2827" w:rsidRPr="00EC54C0">
        <w:rPr>
          <w:rFonts w:asciiTheme="minorBidi" w:hAnsiTheme="minorBidi"/>
          <w:b/>
          <w:bCs/>
          <w:sz w:val="28"/>
          <w:szCs w:val="28"/>
        </w:rPr>
        <w:t>.</w:t>
      </w:r>
    </w:p>
    <w:p w:rsidR="00AF4085" w:rsidRPr="00B60BD1" w:rsidRDefault="00016FA7" w:rsidP="00B60BD1">
      <w:pPr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  <w:u w:val="single"/>
        </w:rPr>
      </w:pPr>
      <w:r w:rsidRPr="00B60BD1">
        <w:rPr>
          <w:rFonts w:asciiTheme="minorBidi" w:hAnsiTheme="minorBidi"/>
          <w:b/>
          <w:bCs/>
          <w:sz w:val="28"/>
          <w:szCs w:val="28"/>
          <w:u w:val="single"/>
        </w:rPr>
        <w:t>2</w:t>
      </w:r>
      <w:r w:rsidR="00726FAF" w:rsidRPr="00B60BD1">
        <w:rPr>
          <w:rFonts w:asciiTheme="minorBidi" w:hAnsiTheme="minorBidi"/>
          <w:b/>
          <w:bCs/>
          <w:sz w:val="28"/>
          <w:szCs w:val="28"/>
          <w:u w:val="single"/>
        </w:rPr>
        <w:t xml:space="preserve"> – Weight</w:t>
      </w:r>
      <w:r w:rsidR="00BC2DBA" w:rsidRPr="00B60BD1">
        <w:rPr>
          <w:rFonts w:asciiTheme="minorBidi" w:hAnsiTheme="minorBidi"/>
          <w:b/>
          <w:bCs/>
          <w:sz w:val="28"/>
          <w:szCs w:val="28"/>
          <w:u w:val="single"/>
        </w:rPr>
        <w:t>:</w:t>
      </w:r>
    </w:p>
    <w:p w:rsidR="00AF4085" w:rsidRPr="00EC54C0" w:rsidRDefault="00726FAF" w:rsidP="00E5497B">
      <w:pPr>
        <w:spacing w:before="240" w:line="276" w:lineRule="auto"/>
        <w:ind w:firstLine="567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lastRenderedPageBreak/>
        <w:t xml:space="preserve">Their weight ranged from 24 to 66 </w:t>
      </w:r>
      <w:r w:rsidR="00E5497B">
        <w:rPr>
          <w:rFonts w:asciiTheme="minorBidi" w:hAnsiTheme="minorBidi"/>
          <w:sz w:val="28"/>
          <w:szCs w:val="28"/>
        </w:rPr>
        <w:t>kg</w:t>
      </w:r>
      <w:r w:rsidRPr="00EC54C0">
        <w:rPr>
          <w:rFonts w:asciiTheme="minorBidi" w:hAnsiTheme="minorBidi"/>
          <w:sz w:val="28"/>
          <w:szCs w:val="28"/>
        </w:rPr>
        <w:t xml:space="preserve"> with the mean 42.6 </w:t>
      </w:r>
      <w:r w:rsidRPr="00EC54C0">
        <w:rPr>
          <w:rFonts w:asciiTheme="minorBidi" w:eastAsia="Times New Roman" w:hAnsiTheme="minorBidi"/>
          <w:color w:val="000000"/>
          <w:sz w:val="28"/>
          <w:szCs w:val="28"/>
        </w:rPr>
        <w:t>± 11.2 SD, the median 42 and the IQR 35 – 46.5.</w:t>
      </w:r>
      <w:r w:rsidRPr="00EC54C0">
        <w:rPr>
          <w:rFonts w:asciiTheme="minorBidi" w:hAnsiTheme="minorBidi"/>
          <w:sz w:val="28"/>
          <w:szCs w:val="28"/>
        </w:rPr>
        <w:t xml:space="preserve"> </w:t>
      </w:r>
    </w:p>
    <w:p w:rsidR="00AF4085" w:rsidRPr="00B60BD1" w:rsidRDefault="00016FA7" w:rsidP="00B60BD1">
      <w:pPr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  <w:u w:val="single"/>
        </w:rPr>
      </w:pPr>
      <w:r w:rsidRPr="00B60BD1">
        <w:rPr>
          <w:rFonts w:asciiTheme="minorBidi" w:hAnsiTheme="minorBidi"/>
          <w:b/>
          <w:bCs/>
          <w:sz w:val="28"/>
          <w:szCs w:val="28"/>
          <w:u w:val="single"/>
        </w:rPr>
        <w:t>3</w:t>
      </w:r>
      <w:r w:rsidR="00537131" w:rsidRPr="00B60BD1">
        <w:rPr>
          <w:rFonts w:asciiTheme="minorBidi" w:hAnsiTheme="minorBidi"/>
          <w:b/>
          <w:bCs/>
          <w:sz w:val="28"/>
          <w:szCs w:val="28"/>
          <w:u w:val="single"/>
        </w:rPr>
        <w:t xml:space="preserve"> – Body mass index:</w:t>
      </w:r>
    </w:p>
    <w:p w:rsidR="00AF4085" w:rsidRPr="00EC54C0" w:rsidRDefault="00537131" w:rsidP="00E5497B">
      <w:pPr>
        <w:spacing w:before="240" w:line="276" w:lineRule="auto"/>
        <w:ind w:firstLine="567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 xml:space="preserve">Their BMI ranged from 17.3 to 29.6 cm with the mean 21.6 </w:t>
      </w:r>
      <w:r w:rsidRPr="00EC54C0">
        <w:rPr>
          <w:rFonts w:asciiTheme="minorBidi" w:eastAsia="Times New Roman" w:hAnsiTheme="minorBidi"/>
          <w:color w:val="000000"/>
          <w:sz w:val="28"/>
          <w:szCs w:val="28"/>
        </w:rPr>
        <w:t>± 3.6 SD, the median 21.4.</w:t>
      </w:r>
      <w:r w:rsidRPr="00EC54C0">
        <w:rPr>
          <w:rFonts w:asciiTheme="minorBidi" w:hAnsiTheme="minorBidi"/>
          <w:sz w:val="28"/>
          <w:szCs w:val="28"/>
        </w:rPr>
        <w:t xml:space="preserve"> </w:t>
      </w:r>
      <w:r w:rsidR="009601FB" w:rsidRPr="00EC54C0">
        <w:rPr>
          <w:rFonts w:asciiTheme="minorBidi" w:hAnsiTheme="minorBidi"/>
          <w:sz w:val="28"/>
          <w:szCs w:val="28"/>
        </w:rPr>
        <w:t xml:space="preserve"> </w:t>
      </w:r>
      <w:r w:rsidR="00D437C0" w:rsidRPr="00EC54C0">
        <w:rPr>
          <w:rFonts w:asciiTheme="minorBidi" w:hAnsiTheme="minorBidi"/>
          <w:sz w:val="28"/>
          <w:szCs w:val="28"/>
        </w:rPr>
        <w:t>20% of cases b</w:t>
      </w:r>
      <w:r w:rsidR="005B588E" w:rsidRPr="00EC54C0">
        <w:rPr>
          <w:rFonts w:asciiTheme="minorBidi" w:hAnsiTheme="minorBidi"/>
          <w:sz w:val="28"/>
          <w:szCs w:val="28"/>
        </w:rPr>
        <w:t>eing overweight</w:t>
      </w:r>
      <w:r w:rsidR="00D437C0" w:rsidRPr="00EC54C0">
        <w:rPr>
          <w:rFonts w:asciiTheme="minorBidi" w:hAnsiTheme="minorBidi"/>
          <w:sz w:val="28"/>
          <w:szCs w:val="28"/>
        </w:rPr>
        <w:t>.</w:t>
      </w:r>
    </w:p>
    <w:p w:rsidR="00A44BD4" w:rsidRPr="00EC54C0" w:rsidRDefault="00D437C0" w:rsidP="00B60BD1">
      <w:pPr>
        <w:spacing w:before="240" w:line="276" w:lineRule="auto"/>
        <w:ind w:firstLine="567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noProof/>
          <w:sz w:val="28"/>
          <w:szCs w:val="28"/>
        </w:rPr>
        <w:drawing>
          <wp:inline distT="0" distB="0" distL="0" distR="0">
            <wp:extent cx="4181283" cy="3785191"/>
            <wp:effectExtent l="19050" t="0" r="9717" b="5759"/>
            <wp:docPr id="5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601FB" w:rsidRPr="00EC54C0" w:rsidRDefault="00A07768" w:rsidP="00E5497B">
      <w:pPr>
        <w:spacing w:before="240" w:line="276" w:lineRule="auto"/>
        <w:rPr>
          <w:rFonts w:asciiTheme="minorBidi" w:hAnsiTheme="minorBidi"/>
          <w:b/>
          <w:bCs/>
          <w:sz w:val="28"/>
          <w:szCs w:val="28"/>
        </w:rPr>
      </w:pPr>
      <w:r w:rsidRPr="00EC54C0">
        <w:rPr>
          <w:rFonts w:asciiTheme="minorBidi" w:hAnsiTheme="minorBidi"/>
          <w:b/>
          <w:bCs/>
          <w:sz w:val="28"/>
          <w:szCs w:val="28"/>
        </w:rPr>
        <w:t>Figure (</w:t>
      </w:r>
      <w:r w:rsidR="00E5497B">
        <w:rPr>
          <w:rFonts w:asciiTheme="minorBidi" w:hAnsiTheme="minorBidi"/>
          <w:b/>
          <w:bCs/>
          <w:sz w:val="28"/>
          <w:szCs w:val="28"/>
        </w:rPr>
        <w:t>R</w:t>
      </w:r>
      <w:r w:rsidR="00AC4CA6">
        <w:rPr>
          <w:rFonts w:asciiTheme="minorBidi" w:hAnsiTheme="minorBidi"/>
          <w:b/>
          <w:bCs/>
          <w:sz w:val="28"/>
          <w:szCs w:val="28"/>
        </w:rPr>
        <w:t>-</w:t>
      </w:r>
      <w:r w:rsidR="00E5497B">
        <w:rPr>
          <w:rFonts w:asciiTheme="minorBidi" w:hAnsiTheme="minorBidi"/>
          <w:b/>
          <w:bCs/>
          <w:sz w:val="28"/>
          <w:szCs w:val="28"/>
        </w:rPr>
        <w:t>18</w:t>
      </w:r>
      <w:r w:rsidRPr="00EC54C0">
        <w:rPr>
          <w:rFonts w:asciiTheme="minorBidi" w:hAnsiTheme="minorBidi"/>
          <w:b/>
          <w:bCs/>
          <w:sz w:val="28"/>
          <w:szCs w:val="28"/>
        </w:rPr>
        <w:t>)</w:t>
      </w:r>
      <w:r w:rsidR="00B60BD1">
        <w:rPr>
          <w:rFonts w:asciiTheme="minorBidi" w:hAnsiTheme="minorBidi"/>
          <w:b/>
          <w:bCs/>
          <w:sz w:val="28"/>
          <w:szCs w:val="28"/>
        </w:rPr>
        <w:t>.</w:t>
      </w:r>
      <w:r w:rsidRPr="00EC54C0">
        <w:rPr>
          <w:rFonts w:asciiTheme="minorBidi" w:hAnsiTheme="minorBidi"/>
          <w:b/>
          <w:bCs/>
          <w:sz w:val="28"/>
          <w:szCs w:val="28"/>
        </w:rPr>
        <w:t xml:space="preserve"> Body mass in</w:t>
      </w:r>
      <w:r w:rsidR="00B60BD1">
        <w:rPr>
          <w:rFonts w:asciiTheme="minorBidi" w:hAnsiTheme="minorBidi"/>
          <w:b/>
          <w:bCs/>
          <w:sz w:val="28"/>
          <w:szCs w:val="28"/>
        </w:rPr>
        <w:t>dex evaluation in studied cases.</w:t>
      </w:r>
    </w:p>
    <w:p w:rsidR="00E5497B" w:rsidRDefault="00E5497B" w:rsidP="00B60BD1">
      <w:pPr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  <w:u w:val="single"/>
        </w:rPr>
      </w:pPr>
    </w:p>
    <w:p w:rsidR="00AF4085" w:rsidRPr="00B60BD1" w:rsidRDefault="00016FA7" w:rsidP="00B60BD1">
      <w:pPr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  <w:u w:val="single"/>
        </w:rPr>
      </w:pPr>
      <w:r w:rsidRPr="00B60BD1">
        <w:rPr>
          <w:rFonts w:asciiTheme="minorBidi" w:hAnsiTheme="minorBidi"/>
          <w:b/>
          <w:bCs/>
          <w:sz w:val="28"/>
          <w:szCs w:val="28"/>
          <w:u w:val="single"/>
        </w:rPr>
        <w:t>4</w:t>
      </w:r>
      <w:r w:rsidR="00BC2DBA" w:rsidRPr="00B60BD1">
        <w:rPr>
          <w:rFonts w:asciiTheme="minorBidi" w:hAnsiTheme="minorBidi"/>
          <w:b/>
          <w:bCs/>
          <w:sz w:val="28"/>
          <w:szCs w:val="28"/>
          <w:u w:val="single"/>
        </w:rPr>
        <w:t xml:space="preserve"> – Body surface area:</w:t>
      </w:r>
    </w:p>
    <w:p w:rsidR="00BC2DBA" w:rsidRPr="00EC54C0" w:rsidRDefault="00BC2DBA" w:rsidP="00B60BD1">
      <w:pPr>
        <w:spacing w:before="240" w:line="276" w:lineRule="auto"/>
        <w:ind w:firstLine="567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 xml:space="preserve">Their BSA ranged from 0.9 to 1.7 cm with the mean 1.3 </w:t>
      </w:r>
      <w:r w:rsidRPr="00EC54C0">
        <w:rPr>
          <w:rFonts w:asciiTheme="minorBidi" w:eastAsia="Times New Roman" w:hAnsiTheme="minorBidi"/>
          <w:color w:val="000000"/>
          <w:sz w:val="28"/>
          <w:szCs w:val="28"/>
        </w:rPr>
        <w:t>± 0.2 SD, the median 1.3.</w:t>
      </w:r>
      <w:r w:rsidRPr="00EC54C0">
        <w:rPr>
          <w:rFonts w:asciiTheme="minorBidi" w:hAnsiTheme="minorBidi"/>
          <w:sz w:val="28"/>
          <w:szCs w:val="28"/>
        </w:rPr>
        <w:t xml:space="preserve"> </w:t>
      </w:r>
    </w:p>
    <w:p w:rsidR="009950B5" w:rsidRDefault="009950B5" w:rsidP="00B60BD1">
      <w:pPr>
        <w:spacing w:before="24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E5497B" w:rsidRPr="00EC54C0" w:rsidRDefault="00E5497B" w:rsidP="00B60BD1">
      <w:pPr>
        <w:spacing w:before="24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</w:p>
    <w:p w:rsidR="00537131" w:rsidRPr="00EC54C0" w:rsidRDefault="00A16B6B" w:rsidP="00E5497B">
      <w:pPr>
        <w:spacing w:before="240" w:line="276" w:lineRule="auto"/>
        <w:jc w:val="both"/>
        <w:rPr>
          <w:rFonts w:asciiTheme="minorBidi" w:hAnsiTheme="minorBidi"/>
          <w:b/>
          <w:bCs/>
          <w:sz w:val="24"/>
          <w:szCs w:val="24"/>
        </w:rPr>
      </w:pPr>
      <w:r w:rsidRPr="00AC4CA6">
        <w:rPr>
          <w:rFonts w:asciiTheme="minorBidi" w:hAnsiTheme="minorBidi"/>
          <w:b/>
          <w:bCs/>
          <w:sz w:val="28"/>
          <w:szCs w:val="28"/>
        </w:rPr>
        <w:lastRenderedPageBreak/>
        <w:t>Table (</w:t>
      </w:r>
      <w:r w:rsidR="00E5497B">
        <w:rPr>
          <w:rFonts w:asciiTheme="minorBidi" w:hAnsiTheme="minorBidi"/>
          <w:b/>
          <w:bCs/>
          <w:sz w:val="28"/>
          <w:szCs w:val="28"/>
        </w:rPr>
        <w:t>R</w:t>
      </w:r>
      <w:r w:rsidR="00AC4CA6">
        <w:rPr>
          <w:rFonts w:asciiTheme="minorBidi" w:hAnsiTheme="minorBidi"/>
          <w:b/>
          <w:bCs/>
          <w:sz w:val="28"/>
          <w:szCs w:val="28"/>
        </w:rPr>
        <w:t>-</w:t>
      </w:r>
      <w:r w:rsidR="00E5497B">
        <w:rPr>
          <w:rFonts w:asciiTheme="minorBidi" w:hAnsiTheme="minorBidi"/>
          <w:b/>
          <w:bCs/>
          <w:sz w:val="28"/>
          <w:szCs w:val="28"/>
        </w:rPr>
        <w:t>12</w:t>
      </w:r>
      <w:r w:rsidR="00C17FC5" w:rsidRPr="00AC4CA6">
        <w:rPr>
          <w:rFonts w:asciiTheme="minorBidi" w:hAnsiTheme="minorBidi"/>
          <w:b/>
          <w:bCs/>
          <w:sz w:val="28"/>
          <w:szCs w:val="28"/>
        </w:rPr>
        <w:t>)</w:t>
      </w:r>
      <w:r w:rsidR="00B60BD1">
        <w:rPr>
          <w:rFonts w:asciiTheme="minorBidi" w:hAnsiTheme="minorBidi"/>
          <w:b/>
          <w:bCs/>
          <w:sz w:val="28"/>
          <w:szCs w:val="28"/>
        </w:rPr>
        <w:t>.</w:t>
      </w:r>
      <w:r w:rsidR="00C17FC5" w:rsidRPr="00AC4CA6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9601FB" w:rsidRPr="00AC4CA6">
        <w:rPr>
          <w:rFonts w:asciiTheme="minorBidi" w:hAnsiTheme="minorBidi"/>
          <w:b/>
          <w:bCs/>
          <w:sz w:val="28"/>
          <w:szCs w:val="28"/>
        </w:rPr>
        <w:t>A</w:t>
      </w:r>
      <w:r w:rsidR="00C17FC5" w:rsidRPr="00AC4CA6">
        <w:rPr>
          <w:rFonts w:asciiTheme="minorBidi" w:hAnsiTheme="minorBidi"/>
          <w:b/>
          <w:bCs/>
          <w:sz w:val="28"/>
          <w:szCs w:val="28"/>
        </w:rPr>
        <w:t>ge and anthropometric measurements</w:t>
      </w:r>
      <w:r w:rsidR="009601FB" w:rsidRPr="00AC4CA6">
        <w:rPr>
          <w:rFonts w:asciiTheme="minorBidi" w:hAnsiTheme="minorBidi"/>
          <w:b/>
          <w:bCs/>
          <w:sz w:val="28"/>
          <w:szCs w:val="28"/>
        </w:rPr>
        <w:t xml:space="preserve"> of studied cases</w:t>
      </w:r>
      <w:r w:rsidR="00C17FC5" w:rsidRPr="00AC4CA6">
        <w:rPr>
          <w:rFonts w:asciiTheme="minorBidi" w:hAnsiTheme="minorBidi"/>
          <w:b/>
          <w:bCs/>
          <w:sz w:val="28"/>
          <w:szCs w:val="28"/>
        </w:rPr>
        <w:t>.</w:t>
      </w:r>
      <w:r w:rsidRPr="00EC54C0">
        <w:rPr>
          <w:rFonts w:asciiTheme="minorBidi" w:hAnsiTheme="minorBidi"/>
          <w:b/>
          <w:bCs/>
          <w:sz w:val="24"/>
          <w:szCs w:val="24"/>
        </w:rPr>
        <w:t xml:space="preserve"> </w:t>
      </w:r>
    </w:p>
    <w:tbl>
      <w:tblPr>
        <w:tblStyle w:val="LightShading-Accent2"/>
        <w:tblW w:w="5343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967"/>
        <w:gridCol w:w="957"/>
        <w:gridCol w:w="350"/>
        <w:gridCol w:w="957"/>
        <w:gridCol w:w="957"/>
        <w:gridCol w:w="410"/>
        <w:gridCol w:w="801"/>
        <w:gridCol w:w="1221"/>
        <w:gridCol w:w="957"/>
        <w:gridCol w:w="350"/>
        <w:gridCol w:w="1111"/>
      </w:tblGrid>
      <w:tr w:rsidR="00914F5F" w:rsidRPr="00EC54C0" w:rsidTr="00AC4CA6">
        <w:trPr>
          <w:cnfStyle w:val="100000000000"/>
          <w:trHeight w:val="300"/>
        </w:trPr>
        <w:tc>
          <w:tcPr>
            <w:cnfStyle w:val="001000000000"/>
            <w:tcW w:w="9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9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914F5F" w:rsidRPr="00AC4CA6" w:rsidRDefault="00914F5F" w:rsidP="00B60BD1">
            <w:pPr>
              <w:spacing w:before="240" w:line="276" w:lineRule="auto"/>
              <w:cnfStyle w:val="1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AC4CA6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Range</w:t>
            </w:r>
          </w:p>
        </w:tc>
        <w:tc>
          <w:tcPr>
            <w:tcW w:w="1036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914F5F" w:rsidRPr="00AC4CA6" w:rsidRDefault="00914F5F" w:rsidP="00B60BD1">
            <w:pPr>
              <w:spacing w:before="240" w:line="276" w:lineRule="auto"/>
              <w:cnfStyle w:val="1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AC4CA6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Mean ± SD</w:t>
            </w:r>
          </w:p>
        </w:tc>
        <w:tc>
          <w:tcPr>
            <w:tcW w:w="57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914F5F" w:rsidRPr="00AC4CA6" w:rsidRDefault="00914F5F" w:rsidP="00B60BD1">
            <w:pPr>
              <w:spacing w:before="240" w:line="276" w:lineRule="auto"/>
              <w:cnfStyle w:val="1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AC4CA6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Median</w:t>
            </w:r>
          </w:p>
        </w:tc>
        <w:tc>
          <w:tcPr>
            <w:tcW w:w="1401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914F5F" w:rsidRPr="00AC4CA6" w:rsidRDefault="00914F5F" w:rsidP="00B60BD1">
            <w:pPr>
              <w:spacing w:before="240" w:line="276" w:lineRule="auto"/>
              <w:cnfStyle w:val="1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AC4CA6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IQR</w:t>
            </w:r>
          </w:p>
        </w:tc>
      </w:tr>
      <w:tr w:rsidR="00726FAF" w:rsidRPr="00EC54C0" w:rsidTr="00AC4CA6">
        <w:trPr>
          <w:cnfStyle w:val="000000100000"/>
          <w:trHeight w:val="300"/>
        </w:trPr>
        <w:tc>
          <w:tcPr>
            <w:cnfStyle w:val="001000000000"/>
            <w:tcW w:w="91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AC4CA6" w:rsidRDefault="00914F5F" w:rsidP="00B60BD1">
            <w:pPr>
              <w:spacing w:before="240" w:line="276" w:lineRule="auto"/>
              <w:jc w:val="both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AC4CA6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Age in y</w:t>
            </w:r>
            <w:r w:rsidR="00AC4CA6" w:rsidRPr="00AC4CA6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ear</w:t>
            </w:r>
            <w:r w:rsidRPr="00AC4CA6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s</w:t>
            </w:r>
          </w:p>
        </w:tc>
        <w:tc>
          <w:tcPr>
            <w:tcW w:w="45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10.0</w:t>
            </w:r>
          </w:p>
        </w:tc>
        <w:tc>
          <w:tcPr>
            <w:tcW w:w="175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45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17.0</w:t>
            </w:r>
          </w:p>
        </w:tc>
        <w:tc>
          <w:tcPr>
            <w:tcW w:w="45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14.5</w:t>
            </w:r>
          </w:p>
        </w:tc>
        <w:tc>
          <w:tcPr>
            <w:tcW w:w="20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±</w:t>
            </w:r>
          </w:p>
        </w:tc>
        <w:tc>
          <w:tcPr>
            <w:tcW w:w="381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57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15.0</w:t>
            </w:r>
          </w:p>
        </w:tc>
        <w:tc>
          <w:tcPr>
            <w:tcW w:w="45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13.0</w:t>
            </w:r>
          </w:p>
        </w:tc>
        <w:tc>
          <w:tcPr>
            <w:tcW w:w="175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773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16.0</w:t>
            </w:r>
          </w:p>
        </w:tc>
      </w:tr>
      <w:tr w:rsidR="00726FAF" w:rsidRPr="00EC54C0" w:rsidTr="00AC4CA6">
        <w:trPr>
          <w:trHeight w:val="300"/>
        </w:trPr>
        <w:tc>
          <w:tcPr>
            <w:cnfStyle w:val="001000000000"/>
            <w:tcW w:w="912" w:type="pct"/>
            <w:noWrap/>
            <w:hideMark/>
          </w:tcPr>
          <w:p w:rsidR="00914F5F" w:rsidRPr="00AC4CA6" w:rsidRDefault="00914F5F" w:rsidP="00B60BD1">
            <w:pPr>
              <w:spacing w:before="240" w:line="276" w:lineRule="auto"/>
              <w:jc w:val="both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AC4CA6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Height in cm</w:t>
            </w:r>
          </w:p>
        </w:tc>
        <w:tc>
          <w:tcPr>
            <w:tcW w:w="452" w:type="pct"/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113.0</w:t>
            </w:r>
          </w:p>
        </w:tc>
        <w:tc>
          <w:tcPr>
            <w:tcW w:w="175" w:type="pct"/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452" w:type="pct"/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156.0</w:t>
            </w:r>
          </w:p>
        </w:tc>
        <w:tc>
          <w:tcPr>
            <w:tcW w:w="452" w:type="pct"/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139.2</w:t>
            </w:r>
          </w:p>
        </w:tc>
        <w:tc>
          <w:tcPr>
            <w:tcW w:w="202" w:type="pct"/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±</w:t>
            </w:r>
          </w:p>
        </w:tc>
        <w:tc>
          <w:tcPr>
            <w:tcW w:w="381" w:type="pct"/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10.1</w:t>
            </w:r>
          </w:p>
        </w:tc>
        <w:tc>
          <w:tcPr>
            <w:tcW w:w="572" w:type="pct"/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137.8</w:t>
            </w:r>
          </w:p>
        </w:tc>
        <w:tc>
          <w:tcPr>
            <w:tcW w:w="452" w:type="pct"/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134.7</w:t>
            </w:r>
          </w:p>
        </w:tc>
        <w:tc>
          <w:tcPr>
            <w:tcW w:w="175" w:type="pct"/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773" w:type="pct"/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145.5</w:t>
            </w:r>
          </w:p>
        </w:tc>
      </w:tr>
      <w:tr w:rsidR="00726FAF" w:rsidRPr="00EC54C0" w:rsidTr="00AC4CA6">
        <w:trPr>
          <w:cnfStyle w:val="000000100000"/>
          <w:trHeight w:val="300"/>
        </w:trPr>
        <w:tc>
          <w:tcPr>
            <w:cnfStyle w:val="001000000000"/>
            <w:tcW w:w="91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AC4CA6" w:rsidRDefault="00914F5F" w:rsidP="00B60BD1">
            <w:pPr>
              <w:spacing w:before="240" w:line="276" w:lineRule="auto"/>
              <w:jc w:val="both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AC4CA6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Weight in Kg</w:t>
            </w:r>
          </w:p>
        </w:tc>
        <w:tc>
          <w:tcPr>
            <w:tcW w:w="45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24.0</w:t>
            </w:r>
          </w:p>
        </w:tc>
        <w:tc>
          <w:tcPr>
            <w:tcW w:w="175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45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66.0</w:t>
            </w:r>
          </w:p>
        </w:tc>
        <w:tc>
          <w:tcPr>
            <w:tcW w:w="45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42.6</w:t>
            </w:r>
          </w:p>
        </w:tc>
        <w:tc>
          <w:tcPr>
            <w:tcW w:w="20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±</w:t>
            </w:r>
          </w:p>
        </w:tc>
        <w:tc>
          <w:tcPr>
            <w:tcW w:w="381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11.2</w:t>
            </w:r>
          </w:p>
        </w:tc>
        <w:tc>
          <w:tcPr>
            <w:tcW w:w="57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42.0</w:t>
            </w:r>
          </w:p>
        </w:tc>
        <w:tc>
          <w:tcPr>
            <w:tcW w:w="45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35.0</w:t>
            </w:r>
          </w:p>
        </w:tc>
        <w:tc>
          <w:tcPr>
            <w:tcW w:w="175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773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46.5</w:t>
            </w:r>
          </w:p>
        </w:tc>
      </w:tr>
      <w:tr w:rsidR="00726FAF" w:rsidRPr="00EC54C0" w:rsidTr="00AC4CA6">
        <w:trPr>
          <w:trHeight w:val="300"/>
        </w:trPr>
        <w:tc>
          <w:tcPr>
            <w:cnfStyle w:val="001000000000"/>
            <w:tcW w:w="912" w:type="pct"/>
            <w:noWrap/>
            <w:hideMark/>
          </w:tcPr>
          <w:p w:rsidR="00914F5F" w:rsidRPr="00AC4CA6" w:rsidRDefault="00914F5F" w:rsidP="00B60BD1">
            <w:pPr>
              <w:spacing w:before="240" w:line="276" w:lineRule="auto"/>
              <w:jc w:val="both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AC4CA6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BMI</w:t>
            </w:r>
          </w:p>
        </w:tc>
        <w:tc>
          <w:tcPr>
            <w:tcW w:w="452" w:type="pct"/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17.3</w:t>
            </w:r>
          </w:p>
        </w:tc>
        <w:tc>
          <w:tcPr>
            <w:tcW w:w="175" w:type="pct"/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452" w:type="pct"/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29.6</w:t>
            </w:r>
          </w:p>
        </w:tc>
        <w:tc>
          <w:tcPr>
            <w:tcW w:w="452" w:type="pct"/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21.6</w:t>
            </w:r>
          </w:p>
        </w:tc>
        <w:tc>
          <w:tcPr>
            <w:tcW w:w="202" w:type="pct"/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±</w:t>
            </w:r>
          </w:p>
        </w:tc>
        <w:tc>
          <w:tcPr>
            <w:tcW w:w="381" w:type="pct"/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3.6</w:t>
            </w:r>
          </w:p>
        </w:tc>
        <w:tc>
          <w:tcPr>
            <w:tcW w:w="572" w:type="pct"/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21.4</w:t>
            </w:r>
          </w:p>
        </w:tc>
        <w:tc>
          <w:tcPr>
            <w:tcW w:w="452" w:type="pct"/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18.8</w:t>
            </w:r>
          </w:p>
        </w:tc>
        <w:tc>
          <w:tcPr>
            <w:tcW w:w="175" w:type="pct"/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773" w:type="pct"/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22.5</w:t>
            </w:r>
          </w:p>
        </w:tc>
      </w:tr>
      <w:tr w:rsidR="00726FAF" w:rsidRPr="00EC54C0" w:rsidTr="00AC4CA6">
        <w:trPr>
          <w:cnfStyle w:val="000000100000"/>
          <w:trHeight w:val="300"/>
        </w:trPr>
        <w:tc>
          <w:tcPr>
            <w:cnfStyle w:val="001000000000"/>
            <w:tcW w:w="91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AC4CA6" w:rsidRDefault="00914F5F" w:rsidP="00B60BD1">
            <w:pPr>
              <w:spacing w:before="240" w:line="276" w:lineRule="auto"/>
              <w:jc w:val="both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AC4CA6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BSA</w:t>
            </w:r>
          </w:p>
        </w:tc>
        <w:tc>
          <w:tcPr>
            <w:tcW w:w="45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0.9</w:t>
            </w:r>
          </w:p>
        </w:tc>
        <w:tc>
          <w:tcPr>
            <w:tcW w:w="175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45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45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20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±</w:t>
            </w:r>
          </w:p>
        </w:tc>
        <w:tc>
          <w:tcPr>
            <w:tcW w:w="381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0.2</w:t>
            </w:r>
          </w:p>
        </w:tc>
        <w:tc>
          <w:tcPr>
            <w:tcW w:w="57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5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175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773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914F5F" w:rsidRPr="00EC54C0" w:rsidRDefault="00914F5F" w:rsidP="00B60BD1">
            <w:pPr>
              <w:spacing w:before="240" w:line="276" w:lineRule="auto"/>
              <w:jc w:val="both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1.3</w:t>
            </w:r>
          </w:p>
        </w:tc>
      </w:tr>
    </w:tbl>
    <w:p w:rsidR="00AC4CA6" w:rsidRPr="00E5497B" w:rsidRDefault="00AC4CA6" w:rsidP="00E5497B">
      <w:pPr>
        <w:tabs>
          <w:tab w:val="left" w:pos="1473"/>
          <w:tab w:val="center" w:pos="4300"/>
        </w:tabs>
        <w:spacing w:before="240" w:line="276" w:lineRule="auto"/>
        <w:jc w:val="both"/>
        <w:rPr>
          <w:rFonts w:asciiTheme="minorBidi" w:hAnsiTheme="minorBidi"/>
          <w:sz w:val="24"/>
          <w:szCs w:val="24"/>
        </w:rPr>
      </w:pPr>
      <w:r w:rsidRPr="00E5497B">
        <w:rPr>
          <w:rFonts w:asciiTheme="minorBidi" w:hAnsiTheme="minorBidi"/>
          <w:sz w:val="24"/>
          <w:szCs w:val="24"/>
        </w:rPr>
        <w:t>BSA; body surface area, BMI; body mass index, IQR; interquartile range, SD; standard deviation.</w:t>
      </w:r>
    </w:p>
    <w:p w:rsidR="0001192E" w:rsidRPr="00C62DEA" w:rsidRDefault="0001192E" w:rsidP="004629F7">
      <w:pPr>
        <w:tabs>
          <w:tab w:val="left" w:pos="1473"/>
          <w:tab w:val="center" w:pos="4300"/>
        </w:tabs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  <w:u w:val="single"/>
        </w:rPr>
      </w:pPr>
      <w:r w:rsidRPr="00C62DEA">
        <w:rPr>
          <w:rFonts w:asciiTheme="minorBidi" w:hAnsiTheme="minorBidi"/>
          <w:b/>
          <w:bCs/>
          <w:sz w:val="28"/>
          <w:szCs w:val="28"/>
          <w:u w:val="single"/>
        </w:rPr>
        <w:t>5 – Features:</w:t>
      </w:r>
    </w:p>
    <w:p w:rsidR="0058443D" w:rsidRDefault="0001192E" w:rsidP="00B60BD1">
      <w:pPr>
        <w:spacing w:before="240" w:line="276" w:lineRule="auto"/>
        <w:ind w:left="288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>Short stature was a constant feature and was present in all patients (100 % of cases).</w:t>
      </w:r>
    </w:p>
    <w:p w:rsidR="00AC0353" w:rsidRDefault="0001192E" w:rsidP="00B60BD1">
      <w:pPr>
        <w:spacing w:before="240" w:line="276" w:lineRule="auto"/>
        <w:ind w:left="288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>Low posterior hair line was present in 14 patients (93.3% of cases).</w:t>
      </w:r>
    </w:p>
    <w:p w:rsidR="0058443D" w:rsidRDefault="0001192E" w:rsidP="00B60BD1">
      <w:pPr>
        <w:spacing w:before="240" w:line="276" w:lineRule="auto"/>
        <w:ind w:left="288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 xml:space="preserve">Cubitus valgus was present in 13 cases (86.7 % of cases). </w:t>
      </w:r>
    </w:p>
    <w:p w:rsidR="00AC0353" w:rsidRDefault="0001192E" w:rsidP="00B60BD1">
      <w:pPr>
        <w:spacing w:before="240" w:line="276" w:lineRule="auto"/>
        <w:ind w:left="288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>Broad chest with inverted or hypo plastic nipples was present in 12 patients (80% of patients).</w:t>
      </w:r>
    </w:p>
    <w:p w:rsidR="0058443D" w:rsidRDefault="0001192E" w:rsidP="0058443D">
      <w:pPr>
        <w:spacing w:before="240" w:line="276" w:lineRule="auto"/>
        <w:ind w:left="288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>Tendency for obesity was present in 9 cases (60% of cases)</w:t>
      </w:r>
      <w:r w:rsidR="00AC0353">
        <w:rPr>
          <w:rFonts w:asciiTheme="minorBidi" w:hAnsiTheme="minorBidi"/>
          <w:sz w:val="28"/>
          <w:szCs w:val="28"/>
        </w:rPr>
        <w:t>,</w:t>
      </w:r>
      <w:r w:rsidRPr="00EC54C0">
        <w:rPr>
          <w:rFonts w:asciiTheme="minorBidi" w:hAnsiTheme="minorBidi"/>
          <w:sz w:val="28"/>
          <w:szCs w:val="28"/>
        </w:rPr>
        <w:t xml:space="preserve"> Short 4</w:t>
      </w:r>
      <w:r w:rsidRPr="00EC54C0">
        <w:rPr>
          <w:rFonts w:asciiTheme="minorBidi" w:hAnsiTheme="minorBidi"/>
          <w:sz w:val="28"/>
          <w:szCs w:val="28"/>
          <w:vertAlign w:val="superscript"/>
        </w:rPr>
        <w:t>th</w:t>
      </w:r>
      <w:r w:rsidRPr="00EC54C0">
        <w:rPr>
          <w:rFonts w:asciiTheme="minorBidi" w:hAnsiTheme="minorBidi"/>
          <w:sz w:val="28"/>
          <w:szCs w:val="28"/>
        </w:rPr>
        <w:t xml:space="preserve"> metacarpal was present in 7 patients (46.7% of cases)</w:t>
      </w:r>
      <w:r w:rsidR="0058443D">
        <w:rPr>
          <w:rFonts w:asciiTheme="minorBidi" w:hAnsiTheme="minorBidi"/>
          <w:sz w:val="28"/>
          <w:szCs w:val="28"/>
        </w:rPr>
        <w:t>.</w:t>
      </w:r>
    </w:p>
    <w:p w:rsidR="00B60BD1" w:rsidRDefault="0058443D" w:rsidP="0058443D">
      <w:pPr>
        <w:spacing w:before="240" w:line="276" w:lineRule="auto"/>
        <w:ind w:left="288"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P</w:t>
      </w:r>
      <w:r w:rsidR="0001192E" w:rsidRPr="00EC54C0">
        <w:rPr>
          <w:rFonts w:asciiTheme="minorBidi" w:hAnsiTheme="minorBidi"/>
          <w:sz w:val="28"/>
          <w:szCs w:val="28"/>
        </w:rPr>
        <w:t xml:space="preserve">igmented nevi were present in 6 patients (40% of cases). </w:t>
      </w:r>
    </w:p>
    <w:p w:rsidR="0001192E" w:rsidRPr="00EC54C0" w:rsidRDefault="0001192E" w:rsidP="00B60BD1">
      <w:pPr>
        <w:spacing w:before="240" w:line="276" w:lineRule="auto"/>
        <w:ind w:left="288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>Behavioral abnormalities were present in 4 cases (26.7% of cases)</w:t>
      </w:r>
      <w:r w:rsidR="00AC0353">
        <w:rPr>
          <w:rFonts w:asciiTheme="minorBidi" w:hAnsiTheme="minorBidi"/>
          <w:sz w:val="28"/>
          <w:szCs w:val="28"/>
        </w:rPr>
        <w:t xml:space="preserve"> and w</w:t>
      </w:r>
      <w:r w:rsidRPr="00EC54C0">
        <w:rPr>
          <w:rFonts w:asciiTheme="minorBidi" w:hAnsiTheme="minorBidi"/>
          <w:sz w:val="28"/>
          <w:szCs w:val="28"/>
        </w:rPr>
        <w:t>ebbed neck was present in 3 patients (20% of cases).</w:t>
      </w:r>
    </w:p>
    <w:p w:rsidR="00C31365" w:rsidRPr="00EC54C0" w:rsidRDefault="004D56BA" w:rsidP="004D56BA">
      <w:pPr>
        <w:spacing w:before="240" w:line="276" w:lineRule="auto"/>
        <w:ind w:left="288" w:firstLine="567"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lastRenderedPageBreak/>
        <w:t>All cases</w:t>
      </w:r>
      <w:r w:rsidRPr="004D56BA">
        <w:rPr>
          <w:rFonts w:asciiTheme="minorBidi" w:hAnsiTheme="minorBidi"/>
          <w:sz w:val="28"/>
          <w:szCs w:val="28"/>
        </w:rPr>
        <w:t xml:space="preserve"> </w:t>
      </w:r>
      <w:r>
        <w:rPr>
          <w:rFonts w:asciiTheme="minorBidi" w:hAnsiTheme="minorBidi"/>
          <w:sz w:val="28"/>
          <w:szCs w:val="28"/>
        </w:rPr>
        <w:t xml:space="preserve">found to have aortic dilatation (five patients detected by AD/DD and one detected with ASI) had shield </w:t>
      </w:r>
      <w:r w:rsidR="0058443D">
        <w:rPr>
          <w:rFonts w:asciiTheme="minorBidi" w:hAnsiTheme="minorBidi"/>
          <w:sz w:val="28"/>
          <w:szCs w:val="28"/>
        </w:rPr>
        <w:t>chest;</w:t>
      </w:r>
      <w:r>
        <w:rPr>
          <w:rFonts w:asciiTheme="minorBidi" w:hAnsiTheme="minorBidi"/>
          <w:sz w:val="28"/>
          <w:szCs w:val="28"/>
        </w:rPr>
        <w:t xml:space="preserve"> three of them (50%) had webbed neck. </w:t>
      </w:r>
    </w:p>
    <w:p w:rsidR="00C31365" w:rsidRPr="00EC54C0" w:rsidRDefault="0001192E" w:rsidP="00C62DEA">
      <w:pPr>
        <w:tabs>
          <w:tab w:val="left" w:pos="1473"/>
          <w:tab w:val="center" w:pos="4300"/>
        </w:tabs>
        <w:spacing w:before="240" w:line="276" w:lineRule="auto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noProof/>
          <w:sz w:val="28"/>
          <w:szCs w:val="28"/>
        </w:rPr>
        <w:drawing>
          <wp:inline distT="0" distB="0" distL="0" distR="0">
            <wp:extent cx="5495925" cy="6372225"/>
            <wp:effectExtent l="19050" t="0" r="9525" b="0"/>
            <wp:docPr id="1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D1D4D" w:rsidRPr="00EC54C0" w:rsidRDefault="00A07768" w:rsidP="00E5497B">
      <w:pPr>
        <w:tabs>
          <w:tab w:val="left" w:pos="1473"/>
          <w:tab w:val="center" w:pos="4300"/>
        </w:tabs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EC54C0">
        <w:rPr>
          <w:rFonts w:asciiTheme="minorBidi" w:hAnsiTheme="minorBidi"/>
          <w:b/>
          <w:bCs/>
          <w:sz w:val="28"/>
          <w:szCs w:val="28"/>
        </w:rPr>
        <w:t>Figure (</w:t>
      </w:r>
      <w:r w:rsidR="00E5497B">
        <w:rPr>
          <w:rFonts w:asciiTheme="minorBidi" w:hAnsiTheme="minorBidi"/>
          <w:b/>
          <w:bCs/>
          <w:sz w:val="28"/>
          <w:szCs w:val="28"/>
        </w:rPr>
        <w:t>R</w:t>
      </w:r>
      <w:r w:rsidR="00AC4CA6">
        <w:rPr>
          <w:rFonts w:asciiTheme="minorBidi" w:hAnsiTheme="minorBidi"/>
          <w:b/>
          <w:bCs/>
          <w:sz w:val="28"/>
          <w:szCs w:val="28"/>
        </w:rPr>
        <w:t>-</w:t>
      </w:r>
      <w:r w:rsidR="00E5497B">
        <w:rPr>
          <w:rFonts w:asciiTheme="minorBidi" w:hAnsiTheme="minorBidi"/>
          <w:b/>
          <w:bCs/>
          <w:sz w:val="28"/>
          <w:szCs w:val="28"/>
        </w:rPr>
        <w:t>19</w:t>
      </w:r>
      <w:r w:rsidRPr="00EC54C0">
        <w:rPr>
          <w:rFonts w:asciiTheme="minorBidi" w:hAnsiTheme="minorBidi"/>
          <w:b/>
          <w:bCs/>
          <w:sz w:val="28"/>
          <w:szCs w:val="28"/>
        </w:rPr>
        <w:t>): prevalence of characteristic features among studied cases.</w:t>
      </w:r>
    </w:p>
    <w:p w:rsidR="00C31365" w:rsidRPr="00DD3C84" w:rsidRDefault="00C31365" w:rsidP="00DD3C84">
      <w:pPr>
        <w:pStyle w:val="ListParagraph"/>
        <w:numPr>
          <w:ilvl w:val="0"/>
          <w:numId w:val="9"/>
        </w:numPr>
        <w:shd w:val="clear" w:color="auto" w:fill="BFBFBF" w:themeFill="background1" w:themeFillShade="BF"/>
        <w:tabs>
          <w:tab w:val="left" w:pos="1473"/>
          <w:tab w:val="center" w:pos="4300"/>
        </w:tabs>
        <w:spacing w:before="240" w:line="276" w:lineRule="auto"/>
        <w:rPr>
          <w:rFonts w:asciiTheme="minorBidi" w:hAnsiTheme="minorBidi"/>
          <w:b/>
          <w:bCs/>
          <w:sz w:val="32"/>
          <w:szCs w:val="32"/>
        </w:rPr>
      </w:pPr>
      <w:r w:rsidRPr="00DD3C84">
        <w:rPr>
          <w:rFonts w:asciiTheme="minorBidi" w:hAnsiTheme="minorBidi"/>
          <w:b/>
          <w:bCs/>
          <w:sz w:val="32"/>
          <w:szCs w:val="32"/>
        </w:rPr>
        <w:lastRenderedPageBreak/>
        <w:t>Cardiovascular assessment</w:t>
      </w:r>
    </w:p>
    <w:p w:rsidR="00C31365" w:rsidRPr="00B60BD1" w:rsidRDefault="00C31365" w:rsidP="00B60BD1">
      <w:pPr>
        <w:pStyle w:val="ListParagraph"/>
        <w:numPr>
          <w:ilvl w:val="0"/>
          <w:numId w:val="11"/>
        </w:numPr>
        <w:tabs>
          <w:tab w:val="left" w:pos="1473"/>
          <w:tab w:val="center" w:pos="4300"/>
        </w:tabs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  <w:u w:val="single"/>
        </w:rPr>
      </w:pPr>
      <w:r w:rsidRPr="00B60BD1">
        <w:rPr>
          <w:rFonts w:asciiTheme="minorBidi" w:hAnsiTheme="minorBidi"/>
          <w:b/>
          <w:bCs/>
          <w:sz w:val="28"/>
          <w:szCs w:val="28"/>
          <w:u w:val="single"/>
        </w:rPr>
        <w:t>BP in 4 limbs:</w:t>
      </w:r>
    </w:p>
    <w:p w:rsidR="00C31365" w:rsidRPr="00EC54C0" w:rsidRDefault="00C31365" w:rsidP="00B60BD1">
      <w:pPr>
        <w:pStyle w:val="ListParagraph"/>
        <w:tabs>
          <w:tab w:val="left" w:pos="1473"/>
          <w:tab w:val="center" w:pos="4300"/>
        </w:tabs>
        <w:spacing w:before="240" w:line="276" w:lineRule="auto"/>
        <w:ind w:firstLine="567"/>
        <w:jc w:val="both"/>
        <w:rPr>
          <w:rFonts w:asciiTheme="minorBidi" w:hAnsiTheme="minorBidi"/>
          <w:sz w:val="28"/>
          <w:szCs w:val="28"/>
        </w:rPr>
      </w:pPr>
    </w:p>
    <w:p w:rsidR="006165DE" w:rsidRPr="00EC54C0" w:rsidRDefault="00C31365" w:rsidP="00B60BD1">
      <w:pPr>
        <w:pStyle w:val="ListParagraph"/>
        <w:tabs>
          <w:tab w:val="left" w:pos="1473"/>
          <w:tab w:val="center" w:pos="4300"/>
        </w:tabs>
        <w:spacing w:before="240" w:line="276" w:lineRule="auto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 xml:space="preserve">Systolic blood pressure (SBP) in upper limb (UL) in the study group ranged from 110 to 125, with mean 116 </w:t>
      </w:r>
      <w:r w:rsidRPr="00EC54C0">
        <w:rPr>
          <w:rFonts w:asciiTheme="minorBidi" w:eastAsia="Times New Roman" w:hAnsiTheme="minorBidi"/>
          <w:color w:val="000000"/>
          <w:sz w:val="28"/>
          <w:szCs w:val="28"/>
        </w:rPr>
        <w:t>±</w:t>
      </w:r>
      <w:r w:rsidRPr="00EC54C0">
        <w:rPr>
          <w:rFonts w:asciiTheme="minorBidi" w:hAnsiTheme="minorBidi"/>
          <w:sz w:val="28"/>
          <w:szCs w:val="28"/>
        </w:rPr>
        <w:t xml:space="preserve"> 5.7 SD, median 115. Systolic blood pressure (SBP) in lower limb (LL) in the study group ranged from 120 to 135, with mean 126.3 </w:t>
      </w:r>
      <w:r w:rsidRPr="00EC54C0">
        <w:rPr>
          <w:rFonts w:asciiTheme="minorBidi" w:eastAsia="Times New Roman" w:hAnsiTheme="minorBidi"/>
          <w:color w:val="000000"/>
          <w:sz w:val="28"/>
          <w:szCs w:val="28"/>
        </w:rPr>
        <w:t>±</w:t>
      </w:r>
      <w:r w:rsidRPr="00EC54C0">
        <w:rPr>
          <w:rFonts w:asciiTheme="minorBidi" w:hAnsiTheme="minorBidi"/>
          <w:sz w:val="28"/>
          <w:szCs w:val="28"/>
        </w:rPr>
        <w:t xml:space="preserve"> 4.8 SD, median 125.</w:t>
      </w:r>
      <w:r w:rsidR="00B60BD1">
        <w:rPr>
          <w:rFonts w:asciiTheme="minorBidi" w:hAnsiTheme="minorBidi"/>
          <w:sz w:val="28"/>
          <w:szCs w:val="28"/>
        </w:rPr>
        <w:br/>
      </w:r>
    </w:p>
    <w:p w:rsidR="00C31365" w:rsidRPr="00EC54C0" w:rsidRDefault="00C31365" w:rsidP="00B60BD1">
      <w:pPr>
        <w:pStyle w:val="ListParagraph"/>
        <w:tabs>
          <w:tab w:val="left" w:pos="1473"/>
          <w:tab w:val="center" w:pos="4300"/>
        </w:tabs>
        <w:spacing w:before="240" w:line="276" w:lineRule="auto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 xml:space="preserve">Diastolic blood pressure (DBP) in upper limb (UL) in the study group ranged from 60 to 80, with mean 71.7 </w:t>
      </w:r>
      <w:r w:rsidRPr="00EC54C0">
        <w:rPr>
          <w:rFonts w:asciiTheme="minorBidi" w:eastAsia="Times New Roman" w:hAnsiTheme="minorBidi"/>
          <w:color w:val="000000"/>
          <w:sz w:val="28"/>
          <w:szCs w:val="28"/>
        </w:rPr>
        <w:t>±</w:t>
      </w:r>
      <w:r w:rsidRPr="00EC54C0">
        <w:rPr>
          <w:rFonts w:asciiTheme="minorBidi" w:hAnsiTheme="minorBidi"/>
          <w:sz w:val="28"/>
          <w:szCs w:val="28"/>
        </w:rPr>
        <w:t xml:space="preserve"> 6.2 SD, median 70. Diastolic blood pressure (DBP) in lower limb (LL) in the study group ranged from 75 to 90, with mean 83.3 </w:t>
      </w:r>
      <w:r w:rsidRPr="00EC54C0">
        <w:rPr>
          <w:rFonts w:asciiTheme="minorBidi" w:eastAsia="Times New Roman" w:hAnsiTheme="minorBidi"/>
          <w:color w:val="000000"/>
          <w:sz w:val="28"/>
          <w:szCs w:val="28"/>
        </w:rPr>
        <w:t>±</w:t>
      </w:r>
      <w:r w:rsidRPr="00EC54C0">
        <w:rPr>
          <w:rFonts w:asciiTheme="minorBidi" w:hAnsiTheme="minorBidi"/>
          <w:sz w:val="28"/>
          <w:szCs w:val="28"/>
        </w:rPr>
        <w:t xml:space="preserve"> 5.2 SD, median 85.</w:t>
      </w:r>
    </w:p>
    <w:p w:rsidR="00A07768" w:rsidRPr="00EC54C0" w:rsidRDefault="00A07768" w:rsidP="00B60BD1">
      <w:pPr>
        <w:pStyle w:val="ListParagraph"/>
        <w:tabs>
          <w:tab w:val="left" w:pos="1473"/>
          <w:tab w:val="center" w:pos="4300"/>
        </w:tabs>
        <w:spacing w:before="240" w:line="276" w:lineRule="auto"/>
        <w:ind w:firstLine="567"/>
        <w:jc w:val="both"/>
        <w:rPr>
          <w:rFonts w:asciiTheme="minorBidi" w:hAnsiTheme="minorBidi"/>
          <w:sz w:val="28"/>
          <w:szCs w:val="28"/>
        </w:rPr>
      </w:pPr>
    </w:p>
    <w:p w:rsidR="00C31365" w:rsidRPr="00AA00AB" w:rsidRDefault="00284F2D" w:rsidP="00E5497B">
      <w:pPr>
        <w:tabs>
          <w:tab w:val="left" w:pos="1473"/>
          <w:tab w:val="center" w:pos="4300"/>
        </w:tabs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AA00AB">
        <w:rPr>
          <w:rFonts w:asciiTheme="minorBidi" w:hAnsiTheme="minorBidi"/>
          <w:b/>
          <w:bCs/>
          <w:sz w:val="28"/>
          <w:szCs w:val="28"/>
        </w:rPr>
        <w:t>Table (</w:t>
      </w:r>
      <w:r w:rsidR="00E5497B">
        <w:rPr>
          <w:rFonts w:asciiTheme="minorBidi" w:hAnsiTheme="minorBidi"/>
          <w:b/>
          <w:bCs/>
          <w:sz w:val="28"/>
          <w:szCs w:val="28"/>
        </w:rPr>
        <w:t>R</w:t>
      </w:r>
      <w:r w:rsidR="00AC4CA6" w:rsidRPr="00AA00AB">
        <w:rPr>
          <w:rFonts w:asciiTheme="minorBidi" w:hAnsiTheme="minorBidi"/>
          <w:b/>
          <w:bCs/>
          <w:sz w:val="28"/>
          <w:szCs w:val="28"/>
        </w:rPr>
        <w:t>-</w:t>
      </w:r>
      <w:r w:rsidR="00E5497B">
        <w:rPr>
          <w:rFonts w:asciiTheme="minorBidi" w:hAnsiTheme="minorBidi"/>
          <w:b/>
          <w:bCs/>
          <w:sz w:val="28"/>
          <w:szCs w:val="28"/>
        </w:rPr>
        <w:t>13</w:t>
      </w:r>
      <w:r w:rsidR="00EA5504" w:rsidRPr="00AA00AB">
        <w:rPr>
          <w:rFonts w:asciiTheme="minorBidi" w:hAnsiTheme="minorBidi"/>
          <w:b/>
          <w:bCs/>
          <w:sz w:val="28"/>
          <w:szCs w:val="28"/>
        </w:rPr>
        <w:t>).</w:t>
      </w:r>
      <w:r w:rsidRPr="00AA00AB">
        <w:rPr>
          <w:rFonts w:asciiTheme="minorBidi" w:hAnsiTheme="minorBidi"/>
          <w:b/>
          <w:bCs/>
          <w:sz w:val="28"/>
          <w:szCs w:val="28"/>
        </w:rPr>
        <w:t xml:space="preserve"> B</w:t>
      </w:r>
      <w:r w:rsidR="00AA00AB" w:rsidRPr="00AA00AB">
        <w:rPr>
          <w:rFonts w:asciiTheme="minorBidi" w:hAnsiTheme="minorBidi"/>
          <w:b/>
          <w:bCs/>
          <w:sz w:val="28"/>
          <w:szCs w:val="28"/>
        </w:rPr>
        <w:t>lood pressure</w:t>
      </w:r>
      <w:r w:rsidRPr="00AA00AB">
        <w:rPr>
          <w:rFonts w:asciiTheme="minorBidi" w:hAnsiTheme="minorBidi"/>
          <w:b/>
          <w:bCs/>
          <w:sz w:val="28"/>
          <w:szCs w:val="28"/>
        </w:rPr>
        <w:t xml:space="preserve"> in 4 limbs</w:t>
      </w:r>
      <w:r w:rsidR="00EA5504" w:rsidRPr="00AA00AB">
        <w:rPr>
          <w:rFonts w:asciiTheme="minorBidi" w:hAnsiTheme="minorBidi"/>
          <w:b/>
          <w:bCs/>
          <w:sz w:val="28"/>
          <w:szCs w:val="28"/>
        </w:rPr>
        <w:t xml:space="preserve"> among the studied cases</w:t>
      </w:r>
      <w:r w:rsidRPr="00AA00AB">
        <w:rPr>
          <w:rFonts w:asciiTheme="minorBidi" w:hAnsiTheme="minorBidi"/>
          <w:b/>
          <w:bCs/>
          <w:sz w:val="28"/>
          <w:szCs w:val="28"/>
        </w:rPr>
        <w:t>.</w:t>
      </w:r>
    </w:p>
    <w:tbl>
      <w:tblPr>
        <w:tblStyle w:val="LightShading-Accent2"/>
        <w:tblW w:w="5000" w:type="pct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321"/>
        <w:gridCol w:w="973"/>
        <w:gridCol w:w="355"/>
        <w:gridCol w:w="973"/>
        <w:gridCol w:w="973"/>
        <w:gridCol w:w="417"/>
        <w:gridCol w:w="658"/>
        <w:gridCol w:w="1242"/>
        <w:gridCol w:w="973"/>
        <w:gridCol w:w="355"/>
        <w:gridCol w:w="1154"/>
      </w:tblGrid>
      <w:tr w:rsidR="00C31365" w:rsidRPr="00EC54C0" w:rsidTr="00AC4CA6">
        <w:trPr>
          <w:cnfStyle w:val="100000000000"/>
          <w:trHeight w:val="300"/>
        </w:trPr>
        <w:tc>
          <w:tcPr>
            <w:cnfStyle w:val="001000000000"/>
            <w:tcW w:w="703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C31365" w:rsidRPr="00EC54C0" w:rsidRDefault="00C31365" w:rsidP="00B60BD1">
            <w:pPr>
              <w:spacing w:before="240" w:line="276" w:lineRule="auto"/>
              <w:jc w:val="both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25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C31365" w:rsidRPr="00EC54C0" w:rsidRDefault="00C31365" w:rsidP="00B60BD1">
            <w:pPr>
              <w:spacing w:before="240" w:line="276" w:lineRule="auto"/>
              <w:cnfStyle w:val="1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Range</w:t>
            </w:r>
          </w:p>
        </w:tc>
        <w:tc>
          <w:tcPr>
            <w:tcW w:w="1090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C31365" w:rsidRPr="00EC54C0" w:rsidRDefault="00C31365" w:rsidP="00B60BD1">
            <w:pPr>
              <w:spacing w:before="240" w:line="276" w:lineRule="auto"/>
              <w:cnfStyle w:val="1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Mean ± SD</w:t>
            </w:r>
          </w:p>
        </w:tc>
        <w:tc>
          <w:tcPr>
            <w:tcW w:w="66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C31365" w:rsidRPr="00EC54C0" w:rsidRDefault="00C31365" w:rsidP="00B60BD1">
            <w:pPr>
              <w:spacing w:before="240" w:line="276" w:lineRule="auto"/>
              <w:cnfStyle w:val="1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Median</w:t>
            </w:r>
          </w:p>
        </w:tc>
        <w:tc>
          <w:tcPr>
            <w:tcW w:w="1321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C31365" w:rsidRPr="00EC54C0" w:rsidRDefault="00C31365" w:rsidP="00B60BD1">
            <w:pPr>
              <w:spacing w:before="240" w:line="276" w:lineRule="auto"/>
              <w:cnfStyle w:val="1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IQR</w:t>
            </w:r>
          </w:p>
        </w:tc>
      </w:tr>
      <w:tr w:rsidR="00C31365" w:rsidRPr="00EC54C0" w:rsidTr="00AC4CA6">
        <w:trPr>
          <w:cnfStyle w:val="000000100000"/>
          <w:trHeight w:val="300"/>
        </w:trPr>
        <w:tc>
          <w:tcPr>
            <w:cnfStyle w:val="001000000000"/>
            <w:tcW w:w="703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C31365" w:rsidRPr="00EC54C0" w:rsidRDefault="00C31365" w:rsidP="00B60BD1">
            <w:pPr>
              <w:spacing w:before="240" w:line="276" w:lineRule="auto"/>
              <w:jc w:val="both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UL SBP</w:t>
            </w:r>
          </w:p>
        </w:tc>
        <w:tc>
          <w:tcPr>
            <w:tcW w:w="518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89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518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518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116</w:t>
            </w:r>
          </w:p>
        </w:tc>
        <w:tc>
          <w:tcPr>
            <w:tcW w:w="22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±</w:t>
            </w:r>
          </w:p>
        </w:tc>
        <w:tc>
          <w:tcPr>
            <w:tcW w:w="350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5.7</w:t>
            </w:r>
          </w:p>
        </w:tc>
        <w:tc>
          <w:tcPr>
            <w:tcW w:w="661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115</w:t>
            </w:r>
          </w:p>
        </w:tc>
        <w:tc>
          <w:tcPr>
            <w:tcW w:w="518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110</w:t>
            </w:r>
          </w:p>
        </w:tc>
        <w:tc>
          <w:tcPr>
            <w:tcW w:w="189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61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120</w:t>
            </w:r>
          </w:p>
        </w:tc>
      </w:tr>
      <w:tr w:rsidR="00C31365" w:rsidRPr="00EC54C0" w:rsidTr="00AC4CA6">
        <w:trPr>
          <w:trHeight w:val="300"/>
        </w:trPr>
        <w:tc>
          <w:tcPr>
            <w:cnfStyle w:val="001000000000"/>
            <w:tcW w:w="703" w:type="pct"/>
            <w:noWrap/>
            <w:hideMark/>
          </w:tcPr>
          <w:p w:rsidR="00C31365" w:rsidRPr="00EC54C0" w:rsidRDefault="00C31365" w:rsidP="00B60BD1">
            <w:pPr>
              <w:spacing w:before="240" w:line="276" w:lineRule="auto"/>
              <w:jc w:val="both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UL DBP</w:t>
            </w:r>
          </w:p>
        </w:tc>
        <w:tc>
          <w:tcPr>
            <w:tcW w:w="518" w:type="pct"/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60</w:t>
            </w:r>
          </w:p>
        </w:tc>
        <w:tc>
          <w:tcPr>
            <w:tcW w:w="189" w:type="pct"/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518" w:type="pct"/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80</w:t>
            </w:r>
          </w:p>
        </w:tc>
        <w:tc>
          <w:tcPr>
            <w:tcW w:w="518" w:type="pct"/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71.7</w:t>
            </w:r>
          </w:p>
        </w:tc>
        <w:tc>
          <w:tcPr>
            <w:tcW w:w="222" w:type="pct"/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±</w:t>
            </w:r>
          </w:p>
        </w:tc>
        <w:tc>
          <w:tcPr>
            <w:tcW w:w="350" w:type="pct"/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6.2</w:t>
            </w:r>
          </w:p>
        </w:tc>
        <w:tc>
          <w:tcPr>
            <w:tcW w:w="661" w:type="pct"/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70</w:t>
            </w:r>
          </w:p>
        </w:tc>
        <w:tc>
          <w:tcPr>
            <w:tcW w:w="518" w:type="pct"/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65.0</w:t>
            </w:r>
          </w:p>
        </w:tc>
        <w:tc>
          <w:tcPr>
            <w:tcW w:w="189" w:type="pct"/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614" w:type="pct"/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75</w:t>
            </w:r>
          </w:p>
        </w:tc>
      </w:tr>
      <w:tr w:rsidR="00C31365" w:rsidRPr="00EC54C0" w:rsidTr="00AC4CA6">
        <w:trPr>
          <w:cnfStyle w:val="000000100000"/>
          <w:trHeight w:val="300"/>
        </w:trPr>
        <w:tc>
          <w:tcPr>
            <w:cnfStyle w:val="001000000000"/>
            <w:tcW w:w="703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C31365" w:rsidRPr="00EC54C0" w:rsidRDefault="00C31365" w:rsidP="00B60BD1">
            <w:pPr>
              <w:spacing w:before="240" w:line="276" w:lineRule="auto"/>
              <w:jc w:val="both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LL SBP</w:t>
            </w:r>
          </w:p>
        </w:tc>
        <w:tc>
          <w:tcPr>
            <w:tcW w:w="518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89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518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135</w:t>
            </w:r>
          </w:p>
        </w:tc>
        <w:tc>
          <w:tcPr>
            <w:tcW w:w="518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126.3</w:t>
            </w:r>
          </w:p>
        </w:tc>
        <w:tc>
          <w:tcPr>
            <w:tcW w:w="22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±</w:t>
            </w:r>
          </w:p>
        </w:tc>
        <w:tc>
          <w:tcPr>
            <w:tcW w:w="350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4.8</w:t>
            </w:r>
          </w:p>
        </w:tc>
        <w:tc>
          <w:tcPr>
            <w:tcW w:w="661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125</w:t>
            </w:r>
          </w:p>
        </w:tc>
        <w:tc>
          <w:tcPr>
            <w:tcW w:w="518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120.0</w:t>
            </w:r>
          </w:p>
        </w:tc>
        <w:tc>
          <w:tcPr>
            <w:tcW w:w="189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61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130</w:t>
            </w:r>
          </w:p>
        </w:tc>
      </w:tr>
      <w:tr w:rsidR="00C31365" w:rsidRPr="00EC54C0" w:rsidTr="00AC4CA6">
        <w:trPr>
          <w:trHeight w:val="300"/>
        </w:trPr>
        <w:tc>
          <w:tcPr>
            <w:cnfStyle w:val="001000000000"/>
            <w:tcW w:w="703" w:type="pct"/>
            <w:noWrap/>
            <w:hideMark/>
          </w:tcPr>
          <w:p w:rsidR="00C31365" w:rsidRPr="00EC54C0" w:rsidRDefault="00C31365" w:rsidP="00B60BD1">
            <w:pPr>
              <w:spacing w:before="240" w:line="276" w:lineRule="auto"/>
              <w:jc w:val="both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LL DBP</w:t>
            </w:r>
          </w:p>
        </w:tc>
        <w:tc>
          <w:tcPr>
            <w:tcW w:w="518" w:type="pct"/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75</w:t>
            </w:r>
          </w:p>
        </w:tc>
        <w:tc>
          <w:tcPr>
            <w:tcW w:w="189" w:type="pct"/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518" w:type="pct"/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90</w:t>
            </w:r>
          </w:p>
        </w:tc>
        <w:tc>
          <w:tcPr>
            <w:tcW w:w="518" w:type="pct"/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83.3</w:t>
            </w:r>
          </w:p>
        </w:tc>
        <w:tc>
          <w:tcPr>
            <w:tcW w:w="222" w:type="pct"/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±</w:t>
            </w:r>
          </w:p>
        </w:tc>
        <w:tc>
          <w:tcPr>
            <w:tcW w:w="350" w:type="pct"/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661" w:type="pct"/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85</w:t>
            </w:r>
          </w:p>
        </w:tc>
        <w:tc>
          <w:tcPr>
            <w:tcW w:w="518" w:type="pct"/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80</w:t>
            </w:r>
          </w:p>
        </w:tc>
        <w:tc>
          <w:tcPr>
            <w:tcW w:w="189" w:type="pct"/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614" w:type="pct"/>
            <w:noWrap/>
            <w:hideMark/>
          </w:tcPr>
          <w:p w:rsidR="00C31365" w:rsidRPr="00EC54C0" w:rsidRDefault="00C31365" w:rsidP="007C3224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90</w:t>
            </w:r>
          </w:p>
        </w:tc>
      </w:tr>
    </w:tbl>
    <w:p w:rsidR="00C31365" w:rsidRPr="009F4983" w:rsidRDefault="009950B5" w:rsidP="00B60BD1">
      <w:pPr>
        <w:pStyle w:val="ListParagraph"/>
        <w:tabs>
          <w:tab w:val="left" w:pos="1473"/>
          <w:tab w:val="center" w:pos="4300"/>
        </w:tabs>
        <w:spacing w:before="240" w:line="276" w:lineRule="auto"/>
        <w:jc w:val="both"/>
        <w:rPr>
          <w:rFonts w:asciiTheme="minorBidi" w:hAnsiTheme="minorBidi"/>
          <w:sz w:val="24"/>
          <w:szCs w:val="24"/>
        </w:rPr>
      </w:pPr>
      <w:r w:rsidRPr="009F4983">
        <w:rPr>
          <w:rFonts w:asciiTheme="minorBidi" w:hAnsiTheme="minorBidi"/>
          <w:sz w:val="24"/>
          <w:szCs w:val="24"/>
        </w:rPr>
        <w:t>UL : upper limb, LL: lower limb, SBP: systolic blood pressure</w:t>
      </w:r>
      <w:r w:rsidR="00AC0353" w:rsidRPr="009F4983">
        <w:rPr>
          <w:rFonts w:asciiTheme="minorBidi" w:hAnsiTheme="minorBidi"/>
          <w:sz w:val="24"/>
          <w:szCs w:val="24"/>
        </w:rPr>
        <w:t>, DBP: diastolic blood pressure, IQR; interquartile range, SD; standard deviation.</w:t>
      </w:r>
    </w:p>
    <w:p w:rsidR="00C31365" w:rsidRPr="00EC54C0" w:rsidRDefault="00C31365" w:rsidP="00B60BD1">
      <w:pPr>
        <w:pStyle w:val="ListParagraph"/>
        <w:tabs>
          <w:tab w:val="left" w:pos="1473"/>
          <w:tab w:val="center" w:pos="4300"/>
        </w:tabs>
        <w:spacing w:before="240" w:line="276" w:lineRule="auto"/>
        <w:ind w:firstLine="567"/>
        <w:jc w:val="both"/>
        <w:rPr>
          <w:rFonts w:asciiTheme="minorBidi" w:hAnsiTheme="minorBidi"/>
          <w:sz w:val="28"/>
          <w:szCs w:val="28"/>
        </w:rPr>
      </w:pPr>
    </w:p>
    <w:p w:rsidR="00C31365" w:rsidRPr="00EC54C0" w:rsidRDefault="00C31365" w:rsidP="00B60BD1">
      <w:pPr>
        <w:spacing w:before="240" w:line="276" w:lineRule="auto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 xml:space="preserve"> Serial measurement of Systolic blood pressure among study cases, when plotted on BP centile 6 cases are above 95</w:t>
      </w:r>
      <w:r w:rsidRPr="00EC54C0">
        <w:rPr>
          <w:rFonts w:asciiTheme="minorBidi" w:hAnsiTheme="minorBidi"/>
          <w:sz w:val="28"/>
          <w:szCs w:val="28"/>
          <w:vertAlign w:val="superscript"/>
        </w:rPr>
        <w:t>th</w:t>
      </w:r>
      <w:r w:rsidRPr="00EC54C0">
        <w:rPr>
          <w:rFonts w:asciiTheme="minorBidi" w:hAnsiTheme="minorBidi"/>
          <w:sz w:val="28"/>
          <w:szCs w:val="28"/>
        </w:rPr>
        <w:t xml:space="preserve"> centile, while  8 cases DBP had their BP above 95</w:t>
      </w:r>
      <w:r w:rsidRPr="00EC54C0">
        <w:rPr>
          <w:rFonts w:asciiTheme="minorBidi" w:hAnsiTheme="minorBidi"/>
          <w:sz w:val="28"/>
          <w:szCs w:val="28"/>
          <w:vertAlign w:val="superscript"/>
        </w:rPr>
        <w:t>th</w:t>
      </w:r>
      <w:r w:rsidRPr="00EC54C0">
        <w:rPr>
          <w:rFonts w:asciiTheme="minorBidi" w:hAnsiTheme="minorBidi"/>
          <w:sz w:val="28"/>
          <w:szCs w:val="28"/>
        </w:rPr>
        <w:t xml:space="preserve"> centile.</w:t>
      </w:r>
    </w:p>
    <w:p w:rsidR="009950B5" w:rsidRPr="00EC54C0" w:rsidRDefault="009950B5" w:rsidP="00B60BD1">
      <w:pPr>
        <w:spacing w:before="240" w:line="276" w:lineRule="auto"/>
        <w:jc w:val="both"/>
        <w:rPr>
          <w:rFonts w:asciiTheme="minorBidi" w:hAnsiTheme="minorBidi"/>
          <w:sz w:val="28"/>
          <w:szCs w:val="28"/>
        </w:rPr>
      </w:pPr>
    </w:p>
    <w:p w:rsidR="00A07768" w:rsidRPr="00EC54C0" w:rsidRDefault="00C31365" w:rsidP="00B60BD1">
      <w:pPr>
        <w:spacing w:before="240" w:line="276" w:lineRule="auto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noProof/>
          <w:sz w:val="28"/>
          <w:szCs w:val="28"/>
        </w:rPr>
        <w:lastRenderedPageBreak/>
        <w:drawing>
          <wp:inline distT="0" distB="0" distL="0" distR="0">
            <wp:extent cx="4610100" cy="1962150"/>
            <wp:effectExtent l="19050" t="0" r="19050" b="0"/>
            <wp:docPr id="1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950B5" w:rsidRPr="00EC54C0" w:rsidRDefault="009950B5" w:rsidP="00B60BD1">
      <w:pPr>
        <w:tabs>
          <w:tab w:val="left" w:pos="5241"/>
        </w:tabs>
        <w:spacing w:before="240" w:line="276" w:lineRule="auto"/>
        <w:rPr>
          <w:rFonts w:asciiTheme="minorBidi" w:hAnsiTheme="minorBidi"/>
          <w:b/>
          <w:bCs/>
          <w:sz w:val="28"/>
          <w:szCs w:val="28"/>
        </w:rPr>
      </w:pPr>
    </w:p>
    <w:p w:rsidR="00C31365" w:rsidRPr="00EC54C0" w:rsidRDefault="000469EB" w:rsidP="000469EB">
      <w:pPr>
        <w:tabs>
          <w:tab w:val="left" w:pos="5241"/>
        </w:tabs>
        <w:spacing w:before="240" w:line="276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Figure (20</w:t>
      </w:r>
      <w:r w:rsidR="00AC4CA6">
        <w:rPr>
          <w:rFonts w:asciiTheme="minorBidi" w:hAnsiTheme="minorBidi"/>
          <w:b/>
          <w:bCs/>
          <w:sz w:val="28"/>
          <w:szCs w:val="28"/>
        </w:rPr>
        <w:t>-R</w:t>
      </w:r>
      <w:r w:rsidR="00A07768" w:rsidRPr="00EC54C0">
        <w:rPr>
          <w:rFonts w:asciiTheme="minorBidi" w:hAnsiTheme="minorBidi"/>
          <w:b/>
          <w:bCs/>
          <w:sz w:val="28"/>
          <w:szCs w:val="28"/>
        </w:rPr>
        <w:t>)</w:t>
      </w:r>
      <w:r w:rsidR="00C62DEA">
        <w:rPr>
          <w:rFonts w:asciiTheme="minorBidi" w:hAnsiTheme="minorBidi"/>
          <w:b/>
          <w:bCs/>
          <w:sz w:val="28"/>
          <w:szCs w:val="28"/>
        </w:rPr>
        <w:t>.</w:t>
      </w:r>
      <w:r w:rsidR="00A07768" w:rsidRPr="00EC54C0">
        <w:rPr>
          <w:rFonts w:asciiTheme="minorBidi" w:hAnsiTheme="minorBidi"/>
          <w:b/>
          <w:bCs/>
          <w:sz w:val="28"/>
          <w:szCs w:val="28"/>
        </w:rPr>
        <w:t xml:space="preserve"> Systolic blood pressure centile in studied cases.</w:t>
      </w:r>
    </w:p>
    <w:p w:rsidR="009950B5" w:rsidRPr="00E84E21" w:rsidRDefault="00C31365" w:rsidP="00E84E21">
      <w:pPr>
        <w:spacing w:before="240" w:line="276" w:lineRule="auto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noProof/>
          <w:sz w:val="28"/>
          <w:szCs w:val="28"/>
        </w:rPr>
        <w:drawing>
          <wp:inline distT="0" distB="0" distL="0" distR="0">
            <wp:extent cx="4497291" cy="2661782"/>
            <wp:effectExtent l="19050" t="0" r="17559" b="5218"/>
            <wp:docPr id="1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6165DE" w:rsidRPr="00E84E21" w:rsidRDefault="00A07768" w:rsidP="00D601C6">
      <w:pPr>
        <w:spacing w:before="240" w:line="276" w:lineRule="auto"/>
        <w:rPr>
          <w:rFonts w:asciiTheme="minorBidi" w:hAnsiTheme="minorBidi"/>
          <w:b/>
          <w:bCs/>
          <w:sz w:val="28"/>
          <w:szCs w:val="28"/>
        </w:rPr>
      </w:pPr>
      <w:r w:rsidRPr="00EC54C0">
        <w:rPr>
          <w:rFonts w:asciiTheme="minorBidi" w:hAnsiTheme="minorBidi"/>
          <w:b/>
          <w:bCs/>
          <w:sz w:val="28"/>
          <w:szCs w:val="28"/>
        </w:rPr>
        <w:t>Figure (</w:t>
      </w:r>
      <w:r w:rsidR="00D601C6">
        <w:rPr>
          <w:rFonts w:asciiTheme="minorBidi" w:hAnsiTheme="minorBidi"/>
          <w:b/>
          <w:bCs/>
          <w:sz w:val="28"/>
          <w:szCs w:val="28"/>
        </w:rPr>
        <w:t>R</w:t>
      </w:r>
      <w:r w:rsidR="00AC4CA6">
        <w:rPr>
          <w:rFonts w:asciiTheme="minorBidi" w:hAnsiTheme="minorBidi"/>
          <w:b/>
          <w:bCs/>
          <w:sz w:val="28"/>
          <w:szCs w:val="28"/>
        </w:rPr>
        <w:t>-</w:t>
      </w:r>
      <w:r w:rsidR="00D601C6">
        <w:rPr>
          <w:rFonts w:asciiTheme="minorBidi" w:hAnsiTheme="minorBidi"/>
          <w:b/>
          <w:bCs/>
          <w:sz w:val="28"/>
          <w:szCs w:val="28"/>
        </w:rPr>
        <w:t>21</w:t>
      </w:r>
      <w:r w:rsidRPr="00EC54C0">
        <w:rPr>
          <w:rFonts w:asciiTheme="minorBidi" w:hAnsiTheme="minorBidi"/>
          <w:b/>
          <w:bCs/>
          <w:sz w:val="28"/>
          <w:szCs w:val="28"/>
        </w:rPr>
        <w:t>)</w:t>
      </w:r>
      <w:r w:rsidR="00C62DEA">
        <w:rPr>
          <w:rFonts w:asciiTheme="minorBidi" w:hAnsiTheme="minorBidi"/>
          <w:b/>
          <w:bCs/>
          <w:sz w:val="28"/>
          <w:szCs w:val="28"/>
        </w:rPr>
        <w:t>.</w:t>
      </w:r>
      <w:r w:rsidRPr="00EC54C0">
        <w:rPr>
          <w:rFonts w:asciiTheme="minorBidi" w:hAnsiTheme="minorBidi"/>
          <w:b/>
          <w:bCs/>
          <w:sz w:val="28"/>
          <w:szCs w:val="28"/>
        </w:rPr>
        <w:t xml:space="preserve"> Diastolic blood pressure in studied cases.</w:t>
      </w:r>
      <w:r w:rsidR="00E84E21">
        <w:rPr>
          <w:rFonts w:asciiTheme="minorBidi" w:hAnsiTheme="minorBidi"/>
          <w:b/>
          <w:bCs/>
          <w:sz w:val="28"/>
          <w:szCs w:val="28"/>
        </w:rPr>
        <w:br/>
      </w:r>
    </w:p>
    <w:p w:rsidR="00E84E21" w:rsidRPr="00E84E21" w:rsidRDefault="00C31365" w:rsidP="00E84E21">
      <w:pPr>
        <w:pStyle w:val="ListParagraph"/>
        <w:numPr>
          <w:ilvl w:val="0"/>
          <w:numId w:val="11"/>
        </w:numPr>
        <w:tabs>
          <w:tab w:val="left" w:pos="1473"/>
          <w:tab w:val="center" w:pos="4300"/>
        </w:tabs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  <w:u w:val="single"/>
        </w:rPr>
      </w:pPr>
      <w:r w:rsidRPr="00B60BD1">
        <w:rPr>
          <w:rFonts w:asciiTheme="minorBidi" w:hAnsiTheme="minorBidi"/>
          <w:b/>
          <w:bCs/>
          <w:sz w:val="28"/>
          <w:szCs w:val="28"/>
          <w:u w:val="single"/>
        </w:rPr>
        <w:t>Local cardiac examination:</w:t>
      </w:r>
    </w:p>
    <w:p w:rsidR="00E84E21" w:rsidRDefault="00C31365" w:rsidP="00B60BD1">
      <w:pPr>
        <w:tabs>
          <w:tab w:val="left" w:pos="1473"/>
          <w:tab w:val="center" w:pos="4300"/>
        </w:tabs>
        <w:spacing w:before="240" w:line="276" w:lineRule="auto"/>
        <w:ind w:left="360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>In the majority of cases (86.3%) no abnormality detected by local cardiac examination. In only 2 patient (13.3 % of cases) apical pansystolic murmer propagated to the axilla with muffled 1</w:t>
      </w:r>
      <w:r w:rsidRPr="00EC54C0">
        <w:rPr>
          <w:rFonts w:asciiTheme="minorBidi" w:hAnsiTheme="minorBidi"/>
          <w:sz w:val="28"/>
          <w:szCs w:val="28"/>
          <w:vertAlign w:val="superscript"/>
        </w:rPr>
        <w:t>st</w:t>
      </w:r>
      <w:r w:rsidRPr="00EC54C0">
        <w:rPr>
          <w:rFonts w:asciiTheme="minorBidi" w:hAnsiTheme="minorBidi"/>
          <w:sz w:val="28"/>
          <w:szCs w:val="28"/>
        </w:rPr>
        <w:t xml:space="preserve"> heart sound (murmer of mitral regurge) was present.</w:t>
      </w:r>
    </w:p>
    <w:p w:rsidR="00AD14C0" w:rsidRPr="00EC54C0" w:rsidRDefault="00C31365" w:rsidP="00B60BD1">
      <w:pPr>
        <w:tabs>
          <w:tab w:val="left" w:pos="1473"/>
          <w:tab w:val="center" w:pos="4300"/>
        </w:tabs>
        <w:spacing w:before="240" w:line="276" w:lineRule="auto"/>
        <w:ind w:left="360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 xml:space="preserve"> </w:t>
      </w:r>
    </w:p>
    <w:p w:rsidR="00284F2D" w:rsidRPr="00EC54C0" w:rsidRDefault="00284F2D" w:rsidP="00D601C6">
      <w:pPr>
        <w:tabs>
          <w:tab w:val="left" w:pos="1473"/>
          <w:tab w:val="center" w:pos="4300"/>
        </w:tabs>
        <w:spacing w:before="240" w:line="276" w:lineRule="auto"/>
        <w:rPr>
          <w:rFonts w:asciiTheme="minorBidi" w:hAnsiTheme="minorBidi"/>
          <w:b/>
          <w:bCs/>
          <w:sz w:val="28"/>
          <w:szCs w:val="28"/>
        </w:rPr>
      </w:pPr>
      <w:r w:rsidRPr="00EC54C0">
        <w:rPr>
          <w:rFonts w:asciiTheme="minorBidi" w:hAnsiTheme="minorBidi"/>
          <w:b/>
          <w:bCs/>
          <w:sz w:val="28"/>
          <w:szCs w:val="28"/>
        </w:rPr>
        <w:lastRenderedPageBreak/>
        <w:t>Table (</w:t>
      </w:r>
      <w:r w:rsidR="00D601C6">
        <w:rPr>
          <w:rFonts w:asciiTheme="minorBidi" w:hAnsiTheme="minorBidi"/>
          <w:b/>
          <w:bCs/>
          <w:sz w:val="28"/>
          <w:szCs w:val="28"/>
        </w:rPr>
        <w:t>R</w:t>
      </w:r>
      <w:r w:rsidR="00AC4CA6">
        <w:rPr>
          <w:rFonts w:asciiTheme="minorBidi" w:hAnsiTheme="minorBidi"/>
          <w:b/>
          <w:bCs/>
          <w:sz w:val="28"/>
          <w:szCs w:val="28"/>
        </w:rPr>
        <w:t>-</w:t>
      </w:r>
      <w:r w:rsidR="00D601C6">
        <w:rPr>
          <w:rFonts w:asciiTheme="minorBidi" w:hAnsiTheme="minorBidi"/>
          <w:b/>
          <w:bCs/>
          <w:sz w:val="28"/>
          <w:szCs w:val="28"/>
        </w:rPr>
        <w:t>14</w:t>
      </w:r>
      <w:r w:rsidRPr="00EC54C0">
        <w:rPr>
          <w:rFonts w:asciiTheme="minorBidi" w:hAnsiTheme="minorBidi"/>
          <w:b/>
          <w:bCs/>
          <w:sz w:val="28"/>
          <w:szCs w:val="28"/>
        </w:rPr>
        <w:t>)</w:t>
      </w:r>
      <w:r w:rsidR="00B60BD1">
        <w:rPr>
          <w:rFonts w:asciiTheme="minorBidi" w:hAnsiTheme="minorBidi"/>
          <w:b/>
          <w:bCs/>
          <w:sz w:val="28"/>
          <w:szCs w:val="28"/>
        </w:rPr>
        <w:t>.</w:t>
      </w:r>
      <w:r w:rsidRPr="00EC54C0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62DEA" w:rsidRPr="00EC54C0">
        <w:rPr>
          <w:rFonts w:asciiTheme="minorBidi" w:hAnsiTheme="minorBidi"/>
          <w:b/>
          <w:bCs/>
          <w:sz w:val="28"/>
          <w:szCs w:val="28"/>
        </w:rPr>
        <w:t>Cardiac</w:t>
      </w:r>
      <w:r w:rsidRPr="00EC54C0">
        <w:rPr>
          <w:rFonts w:asciiTheme="minorBidi" w:hAnsiTheme="minorBidi"/>
          <w:b/>
          <w:bCs/>
          <w:sz w:val="28"/>
          <w:szCs w:val="28"/>
        </w:rPr>
        <w:t xml:space="preserve"> examination of the study population</w:t>
      </w:r>
    </w:p>
    <w:tbl>
      <w:tblPr>
        <w:tblStyle w:val="LightShading-Accent1"/>
        <w:tblW w:w="461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4988"/>
        <w:gridCol w:w="2229"/>
        <w:gridCol w:w="1461"/>
      </w:tblGrid>
      <w:tr w:rsidR="00C31365" w:rsidRPr="0058443D" w:rsidTr="00884D61">
        <w:trPr>
          <w:cnfStyle w:val="100000000000"/>
          <w:jc w:val="center"/>
        </w:trPr>
        <w:tc>
          <w:tcPr>
            <w:cnfStyle w:val="001000000000"/>
            <w:tcW w:w="287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31365" w:rsidRPr="0058443D" w:rsidRDefault="00C31365" w:rsidP="00B60BD1">
            <w:pPr>
              <w:spacing w:before="240" w:line="276" w:lineRule="auto"/>
              <w:ind w:firstLine="567"/>
              <w:jc w:val="both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58443D">
              <w:rPr>
                <w:rFonts w:asciiTheme="minorBidi" w:hAnsiTheme="minorBidi"/>
                <w:color w:val="auto"/>
                <w:sz w:val="28"/>
                <w:szCs w:val="28"/>
              </w:rPr>
              <w:t>Cardiac examination</w:t>
            </w:r>
          </w:p>
        </w:tc>
        <w:tc>
          <w:tcPr>
            <w:tcW w:w="128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31365" w:rsidRPr="0058443D" w:rsidRDefault="00C31365" w:rsidP="00B60BD1">
            <w:pPr>
              <w:spacing w:before="240" w:line="276" w:lineRule="auto"/>
              <w:jc w:val="both"/>
              <w:cnfStyle w:val="1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58443D">
              <w:rPr>
                <w:rFonts w:asciiTheme="minorBidi" w:hAnsiTheme="minorBidi"/>
                <w:color w:val="auto"/>
                <w:sz w:val="28"/>
                <w:szCs w:val="28"/>
              </w:rPr>
              <w:t>No. of cases</w:t>
            </w:r>
          </w:p>
        </w:tc>
        <w:tc>
          <w:tcPr>
            <w:tcW w:w="84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C31365" w:rsidRPr="0058443D" w:rsidRDefault="00C31365" w:rsidP="00B60BD1">
            <w:pPr>
              <w:spacing w:before="240" w:line="276" w:lineRule="auto"/>
              <w:ind w:firstLine="567"/>
              <w:jc w:val="both"/>
              <w:cnfStyle w:val="1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58443D">
              <w:rPr>
                <w:rFonts w:asciiTheme="minorBidi" w:hAnsiTheme="minorBidi"/>
                <w:color w:val="auto"/>
                <w:sz w:val="28"/>
                <w:szCs w:val="28"/>
              </w:rPr>
              <w:t>%</w:t>
            </w:r>
          </w:p>
        </w:tc>
      </w:tr>
      <w:tr w:rsidR="00C31365" w:rsidRPr="0058443D" w:rsidTr="00884D61">
        <w:trPr>
          <w:cnfStyle w:val="000000100000"/>
          <w:jc w:val="center"/>
        </w:trPr>
        <w:tc>
          <w:tcPr>
            <w:cnfStyle w:val="001000000000"/>
            <w:tcW w:w="2874" w:type="pct"/>
            <w:tcBorders>
              <w:left w:val="none" w:sz="0" w:space="0" w:color="auto"/>
              <w:right w:val="none" w:sz="0" w:space="0" w:color="auto"/>
            </w:tcBorders>
          </w:tcPr>
          <w:p w:rsidR="00C31365" w:rsidRPr="0058443D" w:rsidRDefault="00C31365" w:rsidP="00B60BD1">
            <w:pPr>
              <w:spacing w:before="240" w:line="276" w:lineRule="auto"/>
              <w:ind w:left="288" w:firstLine="567"/>
              <w:jc w:val="both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58443D">
              <w:rPr>
                <w:rFonts w:asciiTheme="minorBidi" w:hAnsiTheme="minorBidi"/>
                <w:color w:val="auto"/>
                <w:sz w:val="28"/>
                <w:szCs w:val="28"/>
              </w:rPr>
              <w:t>Murmur of MR</w:t>
            </w:r>
          </w:p>
        </w:tc>
        <w:tc>
          <w:tcPr>
            <w:tcW w:w="1284" w:type="pct"/>
            <w:tcBorders>
              <w:left w:val="none" w:sz="0" w:space="0" w:color="auto"/>
              <w:right w:val="none" w:sz="0" w:space="0" w:color="auto"/>
            </w:tcBorders>
          </w:tcPr>
          <w:p w:rsidR="00C31365" w:rsidRPr="0058443D" w:rsidRDefault="00C31365" w:rsidP="00B60BD1">
            <w:pPr>
              <w:spacing w:before="240" w:line="276" w:lineRule="auto"/>
              <w:ind w:firstLine="567"/>
              <w:jc w:val="both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58443D">
              <w:rPr>
                <w:rFonts w:asciiTheme="minorBidi" w:hAnsiTheme="minorBidi"/>
                <w:color w:val="auto"/>
                <w:sz w:val="28"/>
                <w:szCs w:val="28"/>
              </w:rPr>
              <w:t>2</w:t>
            </w:r>
          </w:p>
        </w:tc>
        <w:tc>
          <w:tcPr>
            <w:tcW w:w="842" w:type="pct"/>
            <w:tcBorders>
              <w:left w:val="none" w:sz="0" w:space="0" w:color="auto"/>
              <w:right w:val="none" w:sz="0" w:space="0" w:color="auto"/>
            </w:tcBorders>
          </w:tcPr>
          <w:p w:rsidR="00C31365" w:rsidRPr="0058443D" w:rsidRDefault="00C31365" w:rsidP="00B60BD1">
            <w:pPr>
              <w:spacing w:before="240" w:line="276" w:lineRule="auto"/>
              <w:ind w:firstLine="567"/>
              <w:jc w:val="both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58443D">
              <w:rPr>
                <w:rFonts w:asciiTheme="minorBidi" w:hAnsiTheme="minorBidi"/>
                <w:color w:val="auto"/>
                <w:sz w:val="28"/>
                <w:szCs w:val="28"/>
              </w:rPr>
              <w:t>13.3</w:t>
            </w:r>
          </w:p>
        </w:tc>
      </w:tr>
      <w:tr w:rsidR="00C31365" w:rsidRPr="0058443D" w:rsidTr="00884D61">
        <w:trPr>
          <w:jc w:val="center"/>
        </w:trPr>
        <w:tc>
          <w:tcPr>
            <w:cnfStyle w:val="001000000000"/>
            <w:tcW w:w="2874" w:type="pct"/>
          </w:tcPr>
          <w:p w:rsidR="00C31365" w:rsidRPr="0058443D" w:rsidRDefault="00C31365" w:rsidP="00B60BD1">
            <w:pPr>
              <w:spacing w:before="240" w:line="276" w:lineRule="auto"/>
              <w:ind w:left="288" w:firstLine="567"/>
              <w:jc w:val="both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58443D">
              <w:rPr>
                <w:rFonts w:asciiTheme="minorBidi" w:hAnsiTheme="minorBidi"/>
                <w:color w:val="auto"/>
                <w:sz w:val="28"/>
                <w:szCs w:val="28"/>
              </w:rPr>
              <w:t>Normal</w:t>
            </w:r>
          </w:p>
        </w:tc>
        <w:tc>
          <w:tcPr>
            <w:tcW w:w="1284" w:type="pct"/>
          </w:tcPr>
          <w:p w:rsidR="00C31365" w:rsidRPr="0058443D" w:rsidRDefault="00C31365" w:rsidP="00B60BD1">
            <w:pPr>
              <w:spacing w:before="240" w:line="276" w:lineRule="auto"/>
              <w:ind w:firstLine="567"/>
              <w:jc w:val="both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58443D">
              <w:rPr>
                <w:rFonts w:asciiTheme="minorBidi" w:hAnsiTheme="minorBidi"/>
                <w:color w:val="auto"/>
                <w:sz w:val="28"/>
                <w:szCs w:val="28"/>
              </w:rPr>
              <w:t>13</w:t>
            </w:r>
          </w:p>
        </w:tc>
        <w:tc>
          <w:tcPr>
            <w:tcW w:w="842" w:type="pct"/>
          </w:tcPr>
          <w:p w:rsidR="00C31365" w:rsidRPr="0058443D" w:rsidRDefault="00C31365" w:rsidP="00B60BD1">
            <w:pPr>
              <w:spacing w:before="240" w:line="276" w:lineRule="auto"/>
              <w:ind w:firstLine="567"/>
              <w:jc w:val="both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58443D">
              <w:rPr>
                <w:rFonts w:asciiTheme="minorBidi" w:hAnsiTheme="minorBidi"/>
                <w:color w:val="auto"/>
                <w:sz w:val="28"/>
                <w:szCs w:val="28"/>
              </w:rPr>
              <w:t>86.7</w:t>
            </w:r>
          </w:p>
        </w:tc>
      </w:tr>
    </w:tbl>
    <w:p w:rsidR="00C31365" w:rsidRPr="00EC54C0" w:rsidRDefault="00C31365" w:rsidP="00B60BD1">
      <w:pPr>
        <w:tabs>
          <w:tab w:val="left" w:pos="1473"/>
          <w:tab w:val="center" w:pos="4300"/>
        </w:tabs>
        <w:spacing w:before="240" w:line="276" w:lineRule="auto"/>
        <w:jc w:val="both"/>
        <w:rPr>
          <w:rFonts w:asciiTheme="minorBidi" w:hAnsiTheme="minorBidi"/>
          <w:sz w:val="28"/>
          <w:szCs w:val="28"/>
        </w:rPr>
      </w:pPr>
    </w:p>
    <w:p w:rsidR="00C31365" w:rsidRPr="00DD3C84" w:rsidRDefault="00E53BAE" w:rsidP="00DD3C84">
      <w:pPr>
        <w:pStyle w:val="ListParagraph"/>
        <w:numPr>
          <w:ilvl w:val="0"/>
          <w:numId w:val="9"/>
        </w:numPr>
        <w:shd w:val="clear" w:color="auto" w:fill="BFBFBF" w:themeFill="background1" w:themeFillShade="BF"/>
        <w:tabs>
          <w:tab w:val="left" w:pos="6681"/>
        </w:tabs>
        <w:spacing w:before="240" w:line="276" w:lineRule="auto"/>
        <w:rPr>
          <w:rFonts w:asciiTheme="minorBidi" w:hAnsiTheme="minorBidi"/>
          <w:b/>
          <w:bCs/>
          <w:sz w:val="32"/>
          <w:szCs w:val="32"/>
        </w:rPr>
      </w:pPr>
      <w:r w:rsidRPr="00DD3C84">
        <w:rPr>
          <w:rFonts w:asciiTheme="minorBidi" w:hAnsiTheme="minorBidi"/>
          <w:b/>
          <w:bCs/>
          <w:sz w:val="32"/>
          <w:szCs w:val="32"/>
        </w:rPr>
        <w:t>Investigations:</w:t>
      </w:r>
    </w:p>
    <w:p w:rsidR="00E53BAE" w:rsidRPr="00EC54C0" w:rsidRDefault="00E53BAE" w:rsidP="00B60BD1">
      <w:pPr>
        <w:pStyle w:val="ListParagraph"/>
        <w:tabs>
          <w:tab w:val="left" w:pos="6681"/>
        </w:tabs>
        <w:spacing w:before="240" w:line="276" w:lineRule="auto"/>
        <w:ind w:left="1287"/>
        <w:jc w:val="both"/>
        <w:rPr>
          <w:rFonts w:asciiTheme="minorBidi" w:hAnsiTheme="minorBidi"/>
          <w:sz w:val="28"/>
          <w:szCs w:val="28"/>
        </w:rPr>
      </w:pPr>
    </w:p>
    <w:p w:rsidR="00B60BD1" w:rsidRDefault="00205EE9" w:rsidP="00B60BD1">
      <w:pPr>
        <w:pStyle w:val="ListParagraph"/>
        <w:numPr>
          <w:ilvl w:val="0"/>
          <w:numId w:val="14"/>
        </w:numPr>
        <w:tabs>
          <w:tab w:val="left" w:pos="6681"/>
        </w:tabs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  <w:u w:val="single"/>
        </w:rPr>
      </w:pPr>
      <w:r w:rsidRPr="00B60BD1">
        <w:rPr>
          <w:rFonts w:asciiTheme="minorBidi" w:hAnsiTheme="minorBidi"/>
          <w:b/>
          <w:bCs/>
          <w:sz w:val="28"/>
          <w:szCs w:val="28"/>
          <w:u w:val="single"/>
        </w:rPr>
        <w:t>Karyotyp</w:t>
      </w:r>
      <w:r w:rsidR="00B60BD1" w:rsidRPr="00B60BD1">
        <w:rPr>
          <w:rFonts w:asciiTheme="minorBidi" w:hAnsiTheme="minorBidi"/>
          <w:b/>
          <w:bCs/>
          <w:sz w:val="28"/>
          <w:szCs w:val="28"/>
          <w:u w:val="single"/>
        </w:rPr>
        <w:t>ing</w:t>
      </w:r>
      <w:r w:rsidRPr="00B60BD1">
        <w:rPr>
          <w:rFonts w:asciiTheme="minorBidi" w:hAnsiTheme="minorBidi"/>
          <w:b/>
          <w:bCs/>
          <w:sz w:val="28"/>
          <w:szCs w:val="28"/>
          <w:u w:val="single"/>
        </w:rPr>
        <w:t>:</w:t>
      </w:r>
    </w:p>
    <w:p w:rsidR="00B60BD1" w:rsidRDefault="00447161" w:rsidP="00B60BD1">
      <w:pPr>
        <w:pStyle w:val="ListParagraph"/>
        <w:tabs>
          <w:tab w:val="left" w:pos="6681"/>
        </w:tabs>
        <w:spacing w:before="240" w:line="276" w:lineRule="auto"/>
        <w:jc w:val="both"/>
        <w:rPr>
          <w:rFonts w:asciiTheme="minorBidi" w:hAnsiTheme="minorBidi"/>
          <w:sz w:val="28"/>
          <w:szCs w:val="28"/>
        </w:rPr>
      </w:pPr>
      <w:r w:rsidRPr="00B60BD1">
        <w:rPr>
          <w:rFonts w:asciiTheme="minorBidi" w:hAnsiTheme="minorBidi"/>
          <w:sz w:val="28"/>
          <w:szCs w:val="28"/>
        </w:rPr>
        <w:t>Six</w:t>
      </w:r>
      <w:r w:rsidR="00D525FC" w:rsidRPr="00B60BD1">
        <w:rPr>
          <w:rFonts w:asciiTheme="minorBidi" w:hAnsiTheme="minorBidi"/>
          <w:sz w:val="28"/>
          <w:szCs w:val="28"/>
        </w:rPr>
        <w:t xml:space="preserve"> patients (40% of cases) are 45,X</w:t>
      </w:r>
      <w:r w:rsidRPr="00B60BD1">
        <w:rPr>
          <w:rFonts w:asciiTheme="minorBidi" w:hAnsiTheme="minorBidi"/>
          <w:sz w:val="28"/>
          <w:szCs w:val="28"/>
        </w:rPr>
        <w:t>.</w:t>
      </w:r>
    </w:p>
    <w:p w:rsidR="00B60BD1" w:rsidRDefault="004E2A36" w:rsidP="00B60BD1">
      <w:pPr>
        <w:pStyle w:val="ListParagraph"/>
        <w:tabs>
          <w:tab w:val="left" w:pos="6681"/>
        </w:tabs>
        <w:spacing w:before="240" w:line="276" w:lineRule="auto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>A</w:t>
      </w:r>
      <w:r w:rsidR="00447161" w:rsidRPr="00EC54C0">
        <w:rPr>
          <w:rFonts w:asciiTheme="minorBidi" w:hAnsiTheme="minorBidi"/>
          <w:sz w:val="28"/>
          <w:szCs w:val="28"/>
        </w:rPr>
        <w:t xml:space="preserve">nother six patients (40% of </w:t>
      </w:r>
      <w:r w:rsidR="00DA6268" w:rsidRPr="00EC54C0">
        <w:rPr>
          <w:rFonts w:asciiTheme="minorBidi" w:hAnsiTheme="minorBidi"/>
          <w:sz w:val="28"/>
          <w:szCs w:val="28"/>
        </w:rPr>
        <w:t>cases) are mosaic</w:t>
      </w:r>
      <w:r w:rsidRPr="00EC54C0">
        <w:rPr>
          <w:rFonts w:asciiTheme="minorBidi" w:hAnsiTheme="minorBidi"/>
          <w:sz w:val="28"/>
          <w:szCs w:val="28"/>
        </w:rPr>
        <w:t xml:space="preserve"> (</w:t>
      </w:r>
      <w:r w:rsidR="00447161" w:rsidRPr="00EC54C0">
        <w:rPr>
          <w:rFonts w:asciiTheme="minorBidi" w:hAnsiTheme="minorBidi"/>
          <w:sz w:val="28"/>
          <w:szCs w:val="28"/>
        </w:rPr>
        <w:t>45,X and 46,XX</w:t>
      </w:r>
      <w:r w:rsidRPr="00EC54C0">
        <w:rPr>
          <w:rFonts w:asciiTheme="minorBidi" w:hAnsiTheme="minorBidi"/>
          <w:sz w:val="28"/>
          <w:szCs w:val="28"/>
        </w:rPr>
        <w:t>)</w:t>
      </w:r>
      <w:r w:rsidR="00447161" w:rsidRPr="00EC54C0">
        <w:rPr>
          <w:rFonts w:asciiTheme="minorBidi" w:hAnsiTheme="minorBidi"/>
          <w:sz w:val="28"/>
          <w:szCs w:val="28"/>
        </w:rPr>
        <w:t xml:space="preserve"> . </w:t>
      </w:r>
    </w:p>
    <w:p w:rsidR="00205EE9" w:rsidRDefault="00447161" w:rsidP="00B60BD1">
      <w:pPr>
        <w:pStyle w:val="ListParagraph"/>
        <w:tabs>
          <w:tab w:val="left" w:pos="6681"/>
        </w:tabs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  <w:u w:val="single"/>
        </w:rPr>
      </w:pPr>
      <w:r w:rsidRPr="00EC54C0">
        <w:rPr>
          <w:rFonts w:asciiTheme="minorBidi" w:hAnsiTheme="minorBidi"/>
          <w:sz w:val="28"/>
          <w:szCs w:val="28"/>
        </w:rPr>
        <w:t>Two patients (13.3 % of cases) are</w:t>
      </w:r>
      <w:r w:rsidR="004E2A36" w:rsidRPr="00EC54C0">
        <w:rPr>
          <w:rFonts w:asciiTheme="minorBidi" w:hAnsiTheme="minorBidi"/>
          <w:sz w:val="28"/>
          <w:szCs w:val="28"/>
        </w:rPr>
        <w:t xml:space="preserve"> mosaic </w:t>
      </w:r>
      <w:r w:rsidR="00DA6268" w:rsidRPr="00EC54C0">
        <w:rPr>
          <w:rFonts w:asciiTheme="minorBidi" w:hAnsiTheme="minorBidi"/>
          <w:sz w:val="28"/>
          <w:szCs w:val="28"/>
        </w:rPr>
        <w:t>(45, X</w:t>
      </w:r>
      <w:r w:rsidRPr="00EC54C0">
        <w:rPr>
          <w:rFonts w:asciiTheme="minorBidi" w:hAnsiTheme="minorBidi"/>
          <w:sz w:val="28"/>
          <w:szCs w:val="28"/>
        </w:rPr>
        <w:t xml:space="preserve"> and 47</w:t>
      </w:r>
      <w:r w:rsidR="00DA6268" w:rsidRPr="00EC54C0">
        <w:rPr>
          <w:rFonts w:asciiTheme="minorBidi" w:hAnsiTheme="minorBidi"/>
          <w:sz w:val="28"/>
          <w:szCs w:val="28"/>
        </w:rPr>
        <w:t>, XXX</w:t>
      </w:r>
      <w:r w:rsidR="004E2A36" w:rsidRPr="00EC54C0">
        <w:rPr>
          <w:rFonts w:asciiTheme="minorBidi" w:hAnsiTheme="minorBidi"/>
          <w:sz w:val="28"/>
          <w:szCs w:val="28"/>
        </w:rPr>
        <w:t>)</w:t>
      </w:r>
      <w:r w:rsidRPr="00EC54C0">
        <w:rPr>
          <w:rFonts w:asciiTheme="minorBidi" w:hAnsiTheme="minorBidi"/>
          <w:sz w:val="28"/>
          <w:szCs w:val="28"/>
        </w:rPr>
        <w:t>. One patient (6.7% of cases) is 46</w:t>
      </w:r>
      <w:r w:rsidR="00DA6268" w:rsidRPr="00EC54C0">
        <w:rPr>
          <w:rFonts w:asciiTheme="minorBidi" w:hAnsiTheme="minorBidi"/>
          <w:sz w:val="28"/>
          <w:szCs w:val="28"/>
        </w:rPr>
        <w:t>, X,I</w:t>
      </w:r>
      <w:r w:rsidRPr="00EC54C0">
        <w:rPr>
          <w:rFonts w:asciiTheme="minorBidi" w:hAnsiTheme="minorBidi"/>
          <w:sz w:val="28"/>
          <w:szCs w:val="28"/>
        </w:rPr>
        <w:t xml:space="preserve">(X)(q10). </w:t>
      </w:r>
    </w:p>
    <w:p w:rsidR="00C62DEA" w:rsidRPr="00B60BD1" w:rsidRDefault="00C62DEA" w:rsidP="00B60BD1">
      <w:pPr>
        <w:pStyle w:val="ListParagraph"/>
        <w:tabs>
          <w:tab w:val="left" w:pos="6681"/>
        </w:tabs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  <w:u w:val="single"/>
        </w:rPr>
      </w:pPr>
    </w:p>
    <w:p w:rsidR="009950B5" w:rsidRPr="00B60BD1" w:rsidRDefault="00CC0865" w:rsidP="00B60BD1">
      <w:pPr>
        <w:spacing w:before="240" w:line="276" w:lineRule="auto"/>
        <w:ind w:firstLine="567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noProof/>
          <w:sz w:val="28"/>
          <w:szCs w:val="28"/>
        </w:rPr>
        <w:drawing>
          <wp:inline distT="0" distB="0" distL="0" distR="0">
            <wp:extent cx="5307965" cy="2428875"/>
            <wp:effectExtent l="19050" t="0" r="26035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07768" w:rsidRPr="00B60BD1" w:rsidRDefault="000469EB" w:rsidP="00D601C6">
      <w:pPr>
        <w:tabs>
          <w:tab w:val="left" w:pos="1473"/>
          <w:tab w:val="center" w:pos="4300"/>
        </w:tabs>
        <w:spacing w:before="240" w:line="276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Figure (</w:t>
      </w:r>
      <w:r w:rsidR="00D601C6">
        <w:rPr>
          <w:rFonts w:asciiTheme="minorBidi" w:hAnsiTheme="minorBidi"/>
          <w:b/>
          <w:bCs/>
          <w:sz w:val="28"/>
          <w:szCs w:val="28"/>
        </w:rPr>
        <w:t>R</w:t>
      </w:r>
      <w:r w:rsidR="00AC4CA6">
        <w:rPr>
          <w:rFonts w:asciiTheme="minorBidi" w:hAnsiTheme="minorBidi"/>
          <w:b/>
          <w:bCs/>
          <w:sz w:val="28"/>
          <w:szCs w:val="28"/>
        </w:rPr>
        <w:t>-</w:t>
      </w:r>
      <w:r w:rsidR="00D601C6">
        <w:rPr>
          <w:rFonts w:asciiTheme="minorBidi" w:hAnsiTheme="minorBidi"/>
          <w:b/>
          <w:bCs/>
          <w:sz w:val="28"/>
          <w:szCs w:val="28"/>
        </w:rPr>
        <w:t>22</w:t>
      </w:r>
      <w:r w:rsidR="00A07768" w:rsidRPr="00EC54C0">
        <w:rPr>
          <w:rFonts w:asciiTheme="minorBidi" w:hAnsiTheme="minorBidi"/>
          <w:b/>
          <w:bCs/>
          <w:sz w:val="28"/>
          <w:szCs w:val="28"/>
        </w:rPr>
        <w:t>)</w:t>
      </w:r>
      <w:r w:rsidR="00B60BD1">
        <w:rPr>
          <w:rFonts w:asciiTheme="minorBidi" w:hAnsiTheme="minorBidi"/>
          <w:b/>
          <w:bCs/>
          <w:sz w:val="28"/>
          <w:szCs w:val="28"/>
        </w:rPr>
        <w:t>.</w:t>
      </w:r>
      <w:r w:rsidR="00A07768" w:rsidRPr="00EC54C0">
        <w:rPr>
          <w:rFonts w:asciiTheme="minorBidi" w:hAnsiTheme="minorBidi"/>
          <w:b/>
          <w:bCs/>
          <w:sz w:val="28"/>
          <w:szCs w:val="28"/>
        </w:rPr>
        <w:t xml:space="preserve"> Karyotypes of studied cases.</w:t>
      </w:r>
    </w:p>
    <w:p w:rsidR="008708D9" w:rsidRPr="00B60BD1" w:rsidRDefault="002646AE" w:rsidP="00B60BD1">
      <w:pPr>
        <w:pStyle w:val="ListParagraph"/>
        <w:numPr>
          <w:ilvl w:val="0"/>
          <w:numId w:val="14"/>
        </w:numPr>
        <w:tabs>
          <w:tab w:val="left" w:pos="1473"/>
          <w:tab w:val="center" w:pos="4300"/>
        </w:tabs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  <w:u w:val="single"/>
        </w:rPr>
      </w:pPr>
      <w:r w:rsidRPr="00B60BD1">
        <w:rPr>
          <w:rFonts w:asciiTheme="minorBidi" w:hAnsiTheme="minorBidi"/>
          <w:b/>
          <w:bCs/>
          <w:sz w:val="28"/>
          <w:szCs w:val="28"/>
          <w:u w:val="single"/>
        </w:rPr>
        <w:t>Echocardiography:</w:t>
      </w:r>
    </w:p>
    <w:p w:rsidR="002646AE" w:rsidRPr="00EC54C0" w:rsidRDefault="002646AE" w:rsidP="00B60BD1">
      <w:pPr>
        <w:pStyle w:val="ListParagraph"/>
        <w:tabs>
          <w:tab w:val="left" w:pos="1473"/>
          <w:tab w:val="center" w:pos="4300"/>
        </w:tabs>
        <w:spacing w:before="240" w:line="276" w:lineRule="auto"/>
        <w:ind w:firstLine="567"/>
        <w:jc w:val="both"/>
        <w:rPr>
          <w:rFonts w:asciiTheme="minorBidi" w:hAnsiTheme="minorBidi"/>
          <w:sz w:val="28"/>
          <w:szCs w:val="28"/>
        </w:rPr>
      </w:pPr>
    </w:p>
    <w:p w:rsidR="002646AE" w:rsidRPr="00EC54C0" w:rsidRDefault="002646AE" w:rsidP="00B60BD1">
      <w:pPr>
        <w:pStyle w:val="ListParagraph"/>
        <w:tabs>
          <w:tab w:val="left" w:pos="1473"/>
          <w:tab w:val="center" w:pos="4300"/>
        </w:tabs>
        <w:spacing w:before="240" w:line="276" w:lineRule="auto"/>
        <w:ind w:firstLine="567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 xml:space="preserve">2D Echocardiography had detected abnormality in 4 patients (26.7% of cases). In three (20% of cases) of them mild mitral </w:t>
      </w:r>
      <w:r w:rsidRPr="00EC54C0">
        <w:rPr>
          <w:rFonts w:asciiTheme="minorBidi" w:hAnsiTheme="minorBidi"/>
          <w:sz w:val="28"/>
          <w:szCs w:val="28"/>
        </w:rPr>
        <w:lastRenderedPageBreak/>
        <w:t>regurge (MR) and mitral valve prolapsed (MVP) were present. While in one patient (6.7% of cases) mild tricuspid regurge (TR) and pulmonary regurge (PR) were detected.</w:t>
      </w:r>
    </w:p>
    <w:p w:rsidR="002646AE" w:rsidRPr="00EC54C0" w:rsidRDefault="002646AE" w:rsidP="00B60BD1">
      <w:pPr>
        <w:pStyle w:val="ListParagraph"/>
        <w:tabs>
          <w:tab w:val="left" w:pos="1473"/>
          <w:tab w:val="center" w:pos="4300"/>
        </w:tabs>
        <w:spacing w:before="240" w:line="276" w:lineRule="auto"/>
        <w:ind w:firstLine="567"/>
        <w:jc w:val="both"/>
        <w:rPr>
          <w:rFonts w:asciiTheme="minorBidi" w:hAnsiTheme="minorBidi"/>
          <w:sz w:val="28"/>
          <w:szCs w:val="28"/>
        </w:rPr>
      </w:pPr>
    </w:p>
    <w:p w:rsidR="009950B5" w:rsidRPr="00AF742F" w:rsidRDefault="002646AE" w:rsidP="00AF742F">
      <w:pPr>
        <w:tabs>
          <w:tab w:val="left" w:pos="1473"/>
          <w:tab w:val="center" w:pos="4300"/>
        </w:tabs>
        <w:spacing w:before="240" w:line="276" w:lineRule="auto"/>
        <w:ind w:firstLine="567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noProof/>
          <w:sz w:val="28"/>
          <w:szCs w:val="28"/>
        </w:rPr>
        <w:drawing>
          <wp:inline distT="0" distB="0" distL="0" distR="0">
            <wp:extent cx="5307861" cy="2865710"/>
            <wp:effectExtent l="19050" t="0" r="26139" b="0"/>
            <wp:docPr id="19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82D55" w:rsidRPr="00AF742F" w:rsidRDefault="000469EB" w:rsidP="00D601C6">
      <w:pPr>
        <w:tabs>
          <w:tab w:val="left" w:pos="1473"/>
          <w:tab w:val="center" w:pos="4300"/>
        </w:tabs>
        <w:spacing w:before="240" w:line="276" w:lineRule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Figure (</w:t>
      </w:r>
      <w:r w:rsidR="00D601C6">
        <w:rPr>
          <w:rFonts w:asciiTheme="minorBidi" w:hAnsiTheme="minorBidi"/>
          <w:b/>
          <w:bCs/>
          <w:sz w:val="28"/>
          <w:szCs w:val="28"/>
        </w:rPr>
        <w:t>R</w:t>
      </w:r>
      <w:r w:rsidR="00AC4CA6">
        <w:rPr>
          <w:rFonts w:asciiTheme="minorBidi" w:hAnsiTheme="minorBidi"/>
          <w:b/>
          <w:bCs/>
          <w:sz w:val="28"/>
          <w:szCs w:val="28"/>
        </w:rPr>
        <w:t>-</w:t>
      </w:r>
      <w:r w:rsidR="00D601C6">
        <w:rPr>
          <w:rFonts w:asciiTheme="minorBidi" w:hAnsiTheme="minorBidi"/>
          <w:b/>
          <w:bCs/>
          <w:sz w:val="28"/>
          <w:szCs w:val="28"/>
        </w:rPr>
        <w:t>23</w:t>
      </w:r>
      <w:r w:rsidR="00A07768" w:rsidRPr="00EC54C0">
        <w:rPr>
          <w:rFonts w:asciiTheme="minorBidi" w:hAnsiTheme="minorBidi"/>
          <w:b/>
          <w:bCs/>
          <w:sz w:val="28"/>
          <w:szCs w:val="28"/>
        </w:rPr>
        <w:t>)</w:t>
      </w:r>
      <w:r w:rsidR="00C62DEA">
        <w:rPr>
          <w:rFonts w:asciiTheme="minorBidi" w:hAnsiTheme="minorBidi"/>
          <w:b/>
          <w:bCs/>
          <w:sz w:val="28"/>
          <w:szCs w:val="28"/>
        </w:rPr>
        <w:t>.</w:t>
      </w:r>
      <w:r w:rsidR="00A07768" w:rsidRPr="00EC54C0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F82D55" w:rsidRPr="00EC54C0">
        <w:rPr>
          <w:rFonts w:asciiTheme="minorBidi" w:hAnsiTheme="minorBidi"/>
          <w:b/>
          <w:bCs/>
          <w:sz w:val="28"/>
          <w:szCs w:val="28"/>
        </w:rPr>
        <w:t>2D Echocardiography findings in studied cases.</w:t>
      </w:r>
      <w:r w:rsidR="00AF742F">
        <w:rPr>
          <w:rFonts w:asciiTheme="minorBidi" w:hAnsiTheme="minorBidi"/>
          <w:b/>
          <w:bCs/>
          <w:sz w:val="28"/>
          <w:szCs w:val="28"/>
        </w:rPr>
        <w:br/>
      </w:r>
    </w:p>
    <w:p w:rsidR="00AF742F" w:rsidRDefault="002C7C65" w:rsidP="00AF742F">
      <w:pPr>
        <w:pStyle w:val="ListParagraph"/>
        <w:numPr>
          <w:ilvl w:val="0"/>
          <w:numId w:val="14"/>
        </w:numPr>
        <w:tabs>
          <w:tab w:val="left" w:pos="1473"/>
          <w:tab w:val="center" w:pos="4300"/>
        </w:tabs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  <w:u w:val="single"/>
        </w:rPr>
      </w:pPr>
      <w:r w:rsidRPr="00AF742F">
        <w:rPr>
          <w:rFonts w:asciiTheme="minorBidi" w:hAnsiTheme="minorBidi"/>
          <w:b/>
          <w:bCs/>
          <w:sz w:val="28"/>
          <w:szCs w:val="28"/>
          <w:u w:val="single"/>
        </w:rPr>
        <w:t>Cardiac magnetic resonance (CMR) imaging :</w:t>
      </w:r>
    </w:p>
    <w:p w:rsidR="00AF742F" w:rsidRDefault="00AF742F" w:rsidP="00AF742F">
      <w:pPr>
        <w:pStyle w:val="ListParagraph"/>
        <w:tabs>
          <w:tab w:val="left" w:pos="1473"/>
          <w:tab w:val="center" w:pos="4300"/>
        </w:tabs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  <w:u w:val="single"/>
        </w:rPr>
      </w:pPr>
    </w:p>
    <w:p w:rsidR="00AC4CA6" w:rsidRPr="00AF742F" w:rsidRDefault="00601828" w:rsidP="00C62DEA">
      <w:pPr>
        <w:pStyle w:val="ListParagraph"/>
        <w:tabs>
          <w:tab w:val="left" w:pos="1473"/>
          <w:tab w:val="center" w:pos="4300"/>
        </w:tabs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  <w:u w:val="single"/>
        </w:rPr>
      </w:pPr>
      <w:r w:rsidRPr="00AF742F">
        <w:rPr>
          <w:rFonts w:asciiTheme="minorBidi" w:hAnsiTheme="minorBidi"/>
          <w:sz w:val="28"/>
          <w:szCs w:val="28"/>
        </w:rPr>
        <w:t>None of the</w:t>
      </w:r>
      <w:r w:rsidR="00C62DEA">
        <w:rPr>
          <w:rFonts w:asciiTheme="minorBidi" w:hAnsiTheme="minorBidi"/>
          <w:sz w:val="28"/>
          <w:szCs w:val="28"/>
        </w:rPr>
        <w:t xml:space="preserve"> studied</w:t>
      </w:r>
      <w:r w:rsidRPr="00AF742F">
        <w:rPr>
          <w:rFonts w:asciiTheme="minorBidi" w:hAnsiTheme="minorBidi"/>
          <w:sz w:val="28"/>
          <w:szCs w:val="28"/>
        </w:rPr>
        <w:t xml:space="preserve"> cases had coarctation or BAV, </w:t>
      </w:r>
      <w:r w:rsidR="002C7C65" w:rsidRPr="00AF742F">
        <w:rPr>
          <w:rFonts w:asciiTheme="minorBidi" w:hAnsiTheme="minorBidi"/>
          <w:sz w:val="28"/>
          <w:szCs w:val="28"/>
        </w:rPr>
        <w:t>measurement</w:t>
      </w:r>
      <w:r w:rsidR="00E53BAE" w:rsidRPr="00AF742F">
        <w:rPr>
          <w:rFonts w:asciiTheme="minorBidi" w:hAnsiTheme="minorBidi"/>
          <w:sz w:val="28"/>
          <w:szCs w:val="28"/>
        </w:rPr>
        <w:t>s</w:t>
      </w:r>
      <w:r w:rsidR="002C7C65" w:rsidRPr="00AF742F">
        <w:rPr>
          <w:rFonts w:asciiTheme="minorBidi" w:hAnsiTheme="minorBidi"/>
          <w:sz w:val="28"/>
          <w:szCs w:val="28"/>
        </w:rPr>
        <w:t xml:space="preserve"> of </w:t>
      </w:r>
      <w:r w:rsidR="009C48F9" w:rsidRPr="00AF742F">
        <w:rPr>
          <w:rFonts w:asciiTheme="minorBidi" w:hAnsiTheme="minorBidi"/>
          <w:sz w:val="28"/>
          <w:szCs w:val="28"/>
        </w:rPr>
        <w:t>aorta</w:t>
      </w:r>
      <w:r w:rsidR="002C7C65" w:rsidRPr="00AF742F">
        <w:rPr>
          <w:rFonts w:asciiTheme="minorBidi" w:hAnsiTheme="minorBidi"/>
          <w:sz w:val="28"/>
          <w:szCs w:val="28"/>
        </w:rPr>
        <w:t xml:space="preserve"> </w:t>
      </w:r>
      <w:r w:rsidR="00C62DEA">
        <w:rPr>
          <w:rFonts w:asciiTheme="minorBidi" w:hAnsiTheme="minorBidi"/>
          <w:sz w:val="28"/>
          <w:szCs w:val="28"/>
        </w:rPr>
        <w:t>reveal</w:t>
      </w:r>
      <w:r w:rsidR="00E53BAE" w:rsidRPr="00AF742F">
        <w:rPr>
          <w:rFonts w:asciiTheme="minorBidi" w:hAnsiTheme="minorBidi"/>
          <w:sz w:val="28"/>
          <w:szCs w:val="28"/>
        </w:rPr>
        <w:t xml:space="preserve"> the</w:t>
      </w:r>
      <w:r w:rsidR="002C7C65" w:rsidRPr="00AF742F">
        <w:rPr>
          <w:rFonts w:asciiTheme="minorBidi" w:hAnsiTheme="minorBidi"/>
          <w:sz w:val="28"/>
          <w:szCs w:val="28"/>
        </w:rPr>
        <w:t xml:space="preserve"> following:</w:t>
      </w:r>
    </w:p>
    <w:p w:rsidR="00254DB6" w:rsidRPr="00AF742F" w:rsidRDefault="008E21B5" w:rsidP="00AF742F">
      <w:pPr>
        <w:pStyle w:val="ListParagraph"/>
        <w:numPr>
          <w:ilvl w:val="0"/>
          <w:numId w:val="18"/>
        </w:numPr>
        <w:spacing w:before="240" w:line="276" w:lineRule="auto"/>
        <w:jc w:val="both"/>
        <w:rPr>
          <w:rFonts w:asciiTheme="minorBidi" w:eastAsia="Times New Roman" w:hAnsiTheme="minorBidi"/>
          <w:color w:val="000000"/>
          <w:sz w:val="28"/>
          <w:szCs w:val="28"/>
        </w:rPr>
      </w:pPr>
      <w:r w:rsidRPr="00AC4CA6">
        <w:rPr>
          <w:rFonts w:asciiTheme="minorBidi" w:eastAsia="Times New Roman" w:hAnsiTheme="minorBidi"/>
          <w:color w:val="000000"/>
          <w:sz w:val="28"/>
          <w:szCs w:val="28"/>
        </w:rPr>
        <w:t>Annulus ranged</w:t>
      </w:r>
      <w:r w:rsidR="002C7C65" w:rsidRPr="00AC4CA6">
        <w:rPr>
          <w:rFonts w:asciiTheme="minorBidi" w:eastAsia="Times New Roman" w:hAnsiTheme="minorBidi"/>
          <w:color w:val="000000"/>
          <w:sz w:val="28"/>
          <w:szCs w:val="28"/>
        </w:rPr>
        <w:t xml:space="preserve"> from 1.6 - 2.2 cm, with mean 1.8</w:t>
      </w:r>
      <w:r w:rsidR="00601828" w:rsidRPr="00AC4CA6">
        <w:rPr>
          <w:rFonts w:asciiTheme="minorBidi" w:eastAsia="Times New Roman" w:hAnsiTheme="minorBidi"/>
          <w:color w:val="000000"/>
          <w:sz w:val="28"/>
          <w:szCs w:val="28"/>
        </w:rPr>
        <w:t xml:space="preserve"> </w:t>
      </w:r>
      <w:r w:rsidR="002C7C65" w:rsidRPr="00AC4CA6">
        <w:rPr>
          <w:rFonts w:asciiTheme="minorBidi" w:eastAsia="Times New Roman" w:hAnsiTheme="minorBidi"/>
          <w:color w:val="000000"/>
          <w:sz w:val="28"/>
          <w:szCs w:val="28"/>
        </w:rPr>
        <w:t>±</w:t>
      </w:r>
      <w:r w:rsidR="00601828" w:rsidRPr="00AC4CA6">
        <w:rPr>
          <w:rFonts w:asciiTheme="minorBidi" w:eastAsia="Times New Roman" w:hAnsiTheme="minorBidi"/>
          <w:color w:val="000000"/>
          <w:sz w:val="28"/>
          <w:szCs w:val="28"/>
        </w:rPr>
        <w:t xml:space="preserve"> </w:t>
      </w:r>
      <w:r w:rsidR="002C7C65" w:rsidRPr="00AC4CA6">
        <w:rPr>
          <w:rFonts w:asciiTheme="minorBidi" w:eastAsia="Times New Roman" w:hAnsiTheme="minorBidi"/>
          <w:color w:val="000000"/>
          <w:sz w:val="28"/>
          <w:szCs w:val="28"/>
        </w:rPr>
        <w:t>0.2 SD</w:t>
      </w:r>
      <w:r w:rsidR="00601828" w:rsidRPr="00AC4CA6">
        <w:rPr>
          <w:rFonts w:asciiTheme="minorBidi" w:eastAsia="Times New Roman" w:hAnsiTheme="minorBidi"/>
          <w:color w:val="000000"/>
          <w:sz w:val="28"/>
          <w:szCs w:val="28"/>
        </w:rPr>
        <w:t xml:space="preserve"> and</w:t>
      </w:r>
      <w:r w:rsidR="002C7C65" w:rsidRPr="00AC4CA6">
        <w:rPr>
          <w:rFonts w:asciiTheme="minorBidi" w:eastAsia="Times New Roman" w:hAnsiTheme="minorBidi"/>
          <w:color w:val="000000"/>
          <w:sz w:val="28"/>
          <w:szCs w:val="28"/>
        </w:rPr>
        <w:t xml:space="preserve"> Median 1.7</w:t>
      </w:r>
      <w:r w:rsidRPr="00AC4CA6">
        <w:rPr>
          <w:rFonts w:asciiTheme="minorBidi" w:eastAsia="Times New Roman" w:hAnsiTheme="minorBidi"/>
          <w:color w:val="000000"/>
          <w:sz w:val="28"/>
          <w:szCs w:val="28"/>
        </w:rPr>
        <w:t>.</w:t>
      </w:r>
    </w:p>
    <w:p w:rsidR="00254DB6" w:rsidRPr="00AF742F" w:rsidRDefault="002C7C65" w:rsidP="00AF742F">
      <w:pPr>
        <w:pStyle w:val="ListParagraph"/>
        <w:numPr>
          <w:ilvl w:val="0"/>
          <w:numId w:val="18"/>
        </w:numPr>
        <w:spacing w:before="240" w:line="276" w:lineRule="auto"/>
        <w:jc w:val="both"/>
        <w:rPr>
          <w:rFonts w:asciiTheme="minorBidi" w:eastAsia="Times New Roman" w:hAnsiTheme="minorBidi"/>
          <w:color w:val="000000"/>
          <w:sz w:val="28"/>
          <w:szCs w:val="28"/>
        </w:rPr>
      </w:pPr>
      <w:r w:rsidRPr="00AC4CA6">
        <w:rPr>
          <w:rFonts w:asciiTheme="minorBidi" w:eastAsia="Times New Roman" w:hAnsiTheme="minorBidi"/>
          <w:color w:val="000000"/>
          <w:sz w:val="28"/>
          <w:szCs w:val="28"/>
        </w:rPr>
        <w:t xml:space="preserve">Bisinus diameter ranged from 2.1 – 3 cm, </w:t>
      </w:r>
      <w:r w:rsidR="008E21B5" w:rsidRPr="00AC4CA6">
        <w:rPr>
          <w:rFonts w:asciiTheme="minorBidi" w:eastAsia="Times New Roman" w:hAnsiTheme="minorBidi"/>
          <w:color w:val="000000"/>
          <w:sz w:val="28"/>
          <w:szCs w:val="28"/>
        </w:rPr>
        <w:t>with mean</w:t>
      </w:r>
      <w:r w:rsidRPr="00AC4CA6">
        <w:rPr>
          <w:rFonts w:asciiTheme="minorBidi" w:eastAsia="Times New Roman" w:hAnsiTheme="minorBidi"/>
          <w:color w:val="000000"/>
          <w:sz w:val="28"/>
          <w:szCs w:val="28"/>
        </w:rPr>
        <w:t xml:space="preserve"> 2.5 ±0.3 SD</w:t>
      </w:r>
      <w:r w:rsidR="00601828" w:rsidRPr="00AC4CA6">
        <w:rPr>
          <w:rFonts w:asciiTheme="minorBidi" w:eastAsia="Times New Roman" w:hAnsiTheme="minorBidi"/>
          <w:color w:val="000000"/>
          <w:sz w:val="28"/>
          <w:szCs w:val="28"/>
        </w:rPr>
        <w:t xml:space="preserve"> and</w:t>
      </w:r>
      <w:r w:rsidRPr="00AC4CA6">
        <w:rPr>
          <w:rFonts w:asciiTheme="minorBidi" w:eastAsia="Times New Roman" w:hAnsiTheme="minorBidi"/>
          <w:color w:val="000000"/>
          <w:sz w:val="28"/>
          <w:szCs w:val="28"/>
        </w:rPr>
        <w:t xml:space="preserve"> Median 2.6</w:t>
      </w:r>
      <w:r w:rsidR="008E21B5" w:rsidRPr="00AC4CA6">
        <w:rPr>
          <w:rFonts w:asciiTheme="minorBidi" w:eastAsia="Times New Roman" w:hAnsiTheme="minorBidi"/>
          <w:color w:val="000000"/>
          <w:sz w:val="28"/>
          <w:szCs w:val="28"/>
        </w:rPr>
        <w:t>.</w:t>
      </w:r>
    </w:p>
    <w:p w:rsidR="00254DB6" w:rsidRPr="00AF742F" w:rsidRDefault="002C7C65" w:rsidP="00AF742F">
      <w:pPr>
        <w:pStyle w:val="ListParagraph"/>
        <w:numPr>
          <w:ilvl w:val="0"/>
          <w:numId w:val="18"/>
        </w:numPr>
        <w:spacing w:before="240" w:line="276" w:lineRule="auto"/>
        <w:jc w:val="both"/>
        <w:rPr>
          <w:rFonts w:asciiTheme="minorBidi" w:eastAsia="Times New Roman" w:hAnsiTheme="minorBidi"/>
          <w:color w:val="000000"/>
          <w:sz w:val="28"/>
          <w:szCs w:val="28"/>
        </w:rPr>
      </w:pPr>
      <w:r w:rsidRPr="00AC4CA6">
        <w:rPr>
          <w:rFonts w:asciiTheme="minorBidi" w:eastAsia="Times New Roman" w:hAnsiTheme="minorBidi"/>
          <w:color w:val="000000"/>
          <w:sz w:val="28"/>
          <w:szCs w:val="28"/>
        </w:rPr>
        <w:t>Sino-tubular Junction ranged from 1.5 – 2.3 cm with mean 1.8 ± 0.3</w:t>
      </w:r>
      <w:r w:rsidR="00701D8C" w:rsidRPr="00AC4CA6">
        <w:rPr>
          <w:rFonts w:asciiTheme="minorBidi" w:eastAsia="Times New Roman" w:hAnsiTheme="minorBidi"/>
          <w:color w:val="000000"/>
          <w:sz w:val="28"/>
          <w:szCs w:val="28"/>
        </w:rPr>
        <w:t xml:space="preserve"> and median 1.8</w:t>
      </w:r>
      <w:r w:rsidR="008E21B5" w:rsidRPr="00AC4CA6">
        <w:rPr>
          <w:rFonts w:asciiTheme="minorBidi" w:eastAsia="Times New Roman" w:hAnsiTheme="minorBidi"/>
          <w:color w:val="000000"/>
          <w:sz w:val="28"/>
          <w:szCs w:val="28"/>
        </w:rPr>
        <w:t>.</w:t>
      </w:r>
    </w:p>
    <w:p w:rsidR="00254DB6" w:rsidRPr="00AF742F" w:rsidRDefault="002C7C65" w:rsidP="00AF742F">
      <w:pPr>
        <w:pStyle w:val="ListParagraph"/>
        <w:numPr>
          <w:ilvl w:val="0"/>
          <w:numId w:val="18"/>
        </w:numPr>
        <w:spacing w:before="240" w:line="276" w:lineRule="auto"/>
        <w:jc w:val="both"/>
        <w:rPr>
          <w:rFonts w:asciiTheme="minorBidi" w:eastAsia="Times New Roman" w:hAnsiTheme="minorBidi"/>
          <w:color w:val="000000"/>
          <w:sz w:val="28"/>
          <w:szCs w:val="28"/>
        </w:rPr>
      </w:pPr>
      <w:r w:rsidRPr="00AC4CA6">
        <w:rPr>
          <w:rFonts w:asciiTheme="minorBidi" w:eastAsia="Times New Roman" w:hAnsiTheme="minorBidi"/>
          <w:color w:val="000000"/>
          <w:sz w:val="28"/>
          <w:szCs w:val="28"/>
        </w:rPr>
        <w:t xml:space="preserve">Ascending </w:t>
      </w:r>
      <w:r w:rsidR="008E21B5" w:rsidRPr="00AC4CA6">
        <w:rPr>
          <w:rFonts w:asciiTheme="minorBidi" w:eastAsia="Times New Roman" w:hAnsiTheme="minorBidi"/>
          <w:color w:val="000000"/>
          <w:sz w:val="28"/>
          <w:szCs w:val="28"/>
        </w:rPr>
        <w:t>a</w:t>
      </w:r>
      <w:r w:rsidRPr="00AC4CA6">
        <w:rPr>
          <w:rFonts w:asciiTheme="minorBidi" w:eastAsia="Times New Roman" w:hAnsiTheme="minorBidi"/>
          <w:color w:val="000000"/>
          <w:sz w:val="28"/>
          <w:szCs w:val="28"/>
        </w:rPr>
        <w:t>orta ranged from 1 – 2.3 cm, with mean 1.8 ± 0.4</w:t>
      </w:r>
      <w:r w:rsidR="00601828" w:rsidRPr="00AC4CA6">
        <w:rPr>
          <w:rFonts w:asciiTheme="minorBidi" w:eastAsia="Times New Roman" w:hAnsiTheme="minorBidi"/>
          <w:color w:val="000000"/>
          <w:sz w:val="28"/>
          <w:szCs w:val="28"/>
        </w:rPr>
        <w:t xml:space="preserve"> and</w:t>
      </w:r>
      <w:r w:rsidRPr="00AC4CA6">
        <w:rPr>
          <w:rFonts w:asciiTheme="minorBidi" w:eastAsia="Times New Roman" w:hAnsiTheme="minorBidi"/>
          <w:color w:val="000000"/>
          <w:sz w:val="28"/>
          <w:szCs w:val="28"/>
        </w:rPr>
        <w:t xml:space="preserve"> </w:t>
      </w:r>
      <w:r w:rsidR="00601828" w:rsidRPr="00AC4CA6">
        <w:rPr>
          <w:rFonts w:asciiTheme="minorBidi" w:eastAsia="Times New Roman" w:hAnsiTheme="minorBidi"/>
          <w:color w:val="000000"/>
          <w:sz w:val="28"/>
          <w:szCs w:val="28"/>
        </w:rPr>
        <w:t>m</w:t>
      </w:r>
      <w:r w:rsidRPr="00AC4CA6">
        <w:rPr>
          <w:rFonts w:asciiTheme="minorBidi" w:eastAsia="Times New Roman" w:hAnsiTheme="minorBidi"/>
          <w:color w:val="000000"/>
          <w:sz w:val="28"/>
          <w:szCs w:val="28"/>
        </w:rPr>
        <w:t>edian 2</w:t>
      </w:r>
      <w:r w:rsidR="008E21B5" w:rsidRPr="00AC4CA6">
        <w:rPr>
          <w:rFonts w:asciiTheme="minorBidi" w:eastAsia="Times New Roman" w:hAnsiTheme="minorBidi"/>
          <w:color w:val="000000"/>
          <w:sz w:val="28"/>
          <w:szCs w:val="28"/>
        </w:rPr>
        <w:t>.</w:t>
      </w:r>
    </w:p>
    <w:p w:rsidR="00254DB6" w:rsidRPr="00AF742F" w:rsidRDefault="008E21B5" w:rsidP="00AF742F">
      <w:pPr>
        <w:pStyle w:val="ListParagraph"/>
        <w:numPr>
          <w:ilvl w:val="0"/>
          <w:numId w:val="18"/>
        </w:numPr>
        <w:spacing w:before="240" w:line="276" w:lineRule="auto"/>
        <w:jc w:val="both"/>
        <w:rPr>
          <w:rFonts w:asciiTheme="minorBidi" w:eastAsia="Times New Roman" w:hAnsiTheme="minorBidi"/>
          <w:color w:val="000000"/>
          <w:sz w:val="28"/>
          <w:szCs w:val="28"/>
        </w:rPr>
      </w:pPr>
      <w:r w:rsidRPr="00AC4CA6">
        <w:rPr>
          <w:rFonts w:asciiTheme="minorBidi" w:eastAsia="Times New Roman" w:hAnsiTheme="minorBidi"/>
          <w:color w:val="000000"/>
          <w:sz w:val="28"/>
          <w:szCs w:val="28"/>
        </w:rPr>
        <w:t>Aortic</w:t>
      </w:r>
      <w:r w:rsidR="002C7C65" w:rsidRPr="00AC4CA6">
        <w:rPr>
          <w:rFonts w:asciiTheme="minorBidi" w:eastAsia="Times New Roman" w:hAnsiTheme="minorBidi"/>
          <w:color w:val="000000"/>
          <w:sz w:val="28"/>
          <w:szCs w:val="28"/>
        </w:rPr>
        <w:t xml:space="preserve"> arch ranged from 0.8 – 2</w:t>
      </w:r>
      <w:r w:rsidR="00DC23D1" w:rsidRPr="00AC4CA6">
        <w:rPr>
          <w:rFonts w:asciiTheme="minorBidi" w:eastAsia="Times New Roman" w:hAnsiTheme="minorBidi"/>
          <w:color w:val="000000"/>
          <w:sz w:val="28"/>
          <w:szCs w:val="28"/>
        </w:rPr>
        <w:t xml:space="preserve"> cm</w:t>
      </w:r>
      <w:r w:rsidR="002C7C65" w:rsidRPr="00AC4CA6">
        <w:rPr>
          <w:rFonts w:asciiTheme="minorBidi" w:eastAsia="Times New Roman" w:hAnsiTheme="minorBidi"/>
          <w:color w:val="000000"/>
          <w:sz w:val="28"/>
          <w:szCs w:val="28"/>
        </w:rPr>
        <w:t>, with mean 1.6 ± 0.3,</w:t>
      </w:r>
      <w:r w:rsidR="00601828" w:rsidRPr="00AC4CA6">
        <w:rPr>
          <w:rFonts w:asciiTheme="minorBidi" w:eastAsia="Times New Roman" w:hAnsiTheme="minorBidi"/>
          <w:color w:val="000000"/>
          <w:sz w:val="28"/>
          <w:szCs w:val="28"/>
        </w:rPr>
        <w:t xml:space="preserve"> and</w:t>
      </w:r>
      <w:r w:rsidR="002C7C65" w:rsidRPr="00AC4CA6">
        <w:rPr>
          <w:rFonts w:asciiTheme="minorBidi" w:eastAsia="Times New Roman" w:hAnsiTheme="minorBidi"/>
          <w:color w:val="000000"/>
          <w:sz w:val="28"/>
          <w:szCs w:val="28"/>
        </w:rPr>
        <w:t xml:space="preserve"> </w:t>
      </w:r>
      <w:r w:rsidRPr="00AC4CA6">
        <w:rPr>
          <w:rFonts w:asciiTheme="minorBidi" w:eastAsia="Times New Roman" w:hAnsiTheme="minorBidi"/>
          <w:color w:val="000000"/>
          <w:sz w:val="28"/>
          <w:szCs w:val="28"/>
        </w:rPr>
        <w:t>m</w:t>
      </w:r>
      <w:r w:rsidR="002C7C65" w:rsidRPr="00AC4CA6">
        <w:rPr>
          <w:rFonts w:asciiTheme="minorBidi" w:eastAsia="Times New Roman" w:hAnsiTheme="minorBidi"/>
          <w:color w:val="000000"/>
          <w:sz w:val="28"/>
          <w:szCs w:val="28"/>
        </w:rPr>
        <w:t>edian 1.6</w:t>
      </w:r>
      <w:r w:rsidRPr="00AC4CA6">
        <w:rPr>
          <w:rFonts w:asciiTheme="minorBidi" w:eastAsia="Times New Roman" w:hAnsiTheme="minorBidi"/>
          <w:color w:val="000000"/>
          <w:sz w:val="28"/>
          <w:szCs w:val="28"/>
        </w:rPr>
        <w:t>.</w:t>
      </w:r>
    </w:p>
    <w:p w:rsidR="00254DB6" w:rsidRPr="00AF742F" w:rsidRDefault="002C7C65" w:rsidP="00AF742F">
      <w:pPr>
        <w:pStyle w:val="ListParagraph"/>
        <w:numPr>
          <w:ilvl w:val="0"/>
          <w:numId w:val="18"/>
        </w:numPr>
        <w:spacing w:before="240" w:line="276" w:lineRule="auto"/>
        <w:jc w:val="both"/>
        <w:rPr>
          <w:rFonts w:asciiTheme="minorBidi" w:eastAsia="Times New Roman" w:hAnsiTheme="minorBidi"/>
          <w:color w:val="000000"/>
          <w:sz w:val="28"/>
          <w:szCs w:val="28"/>
        </w:rPr>
      </w:pPr>
      <w:r w:rsidRPr="00AC4CA6">
        <w:rPr>
          <w:rFonts w:asciiTheme="minorBidi" w:eastAsia="Times New Roman" w:hAnsiTheme="minorBidi"/>
          <w:color w:val="000000"/>
          <w:sz w:val="28"/>
          <w:szCs w:val="28"/>
        </w:rPr>
        <w:lastRenderedPageBreak/>
        <w:t>Descending aorta</w:t>
      </w:r>
      <w:r w:rsidR="00DC23D1" w:rsidRPr="00AC4CA6">
        <w:rPr>
          <w:rFonts w:asciiTheme="minorBidi" w:eastAsia="Times New Roman" w:hAnsiTheme="minorBidi"/>
          <w:color w:val="000000"/>
          <w:sz w:val="28"/>
          <w:szCs w:val="28"/>
        </w:rPr>
        <w:t xml:space="preserve"> ranged from 0.7 – 1.6 cm, with mean 1.2 ± 0.3, </w:t>
      </w:r>
      <w:r w:rsidR="00601828" w:rsidRPr="00AC4CA6">
        <w:rPr>
          <w:rFonts w:asciiTheme="minorBidi" w:eastAsia="Times New Roman" w:hAnsiTheme="minorBidi"/>
          <w:color w:val="000000"/>
          <w:sz w:val="28"/>
          <w:szCs w:val="28"/>
        </w:rPr>
        <w:t>and m</w:t>
      </w:r>
      <w:r w:rsidR="00DC23D1" w:rsidRPr="00AC4CA6">
        <w:rPr>
          <w:rFonts w:asciiTheme="minorBidi" w:eastAsia="Times New Roman" w:hAnsiTheme="minorBidi"/>
          <w:color w:val="000000"/>
          <w:sz w:val="28"/>
          <w:szCs w:val="28"/>
        </w:rPr>
        <w:t>edian 1.3</w:t>
      </w:r>
      <w:r w:rsidR="008E21B5" w:rsidRPr="00AC4CA6">
        <w:rPr>
          <w:rFonts w:asciiTheme="minorBidi" w:eastAsia="Times New Roman" w:hAnsiTheme="minorBidi"/>
          <w:color w:val="000000"/>
          <w:sz w:val="28"/>
          <w:szCs w:val="28"/>
        </w:rPr>
        <w:t>.</w:t>
      </w:r>
    </w:p>
    <w:p w:rsidR="00254DB6" w:rsidRPr="00AF742F" w:rsidRDefault="002C7C65" w:rsidP="00AF742F">
      <w:pPr>
        <w:pStyle w:val="ListParagraph"/>
        <w:numPr>
          <w:ilvl w:val="0"/>
          <w:numId w:val="18"/>
        </w:numPr>
        <w:spacing w:before="240" w:line="276" w:lineRule="auto"/>
        <w:jc w:val="both"/>
        <w:rPr>
          <w:rFonts w:asciiTheme="minorBidi" w:eastAsia="Times New Roman" w:hAnsiTheme="minorBidi"/>
          <w:color w:val="000000"/>
          <w:sz w:val="28"/>
          <w:szCs w:val="28"/>
        </w:rPr>
      </w:pPr>
      <w:r w:rsidRPr="00AC4CA6">
        <w:rPr>
          <w:rFonts w:asciiTheme="minorBidi" w:eastAsia="Times New Roman" w:hAnsiTheme="minorBidi"/>
          <w:color w:val="000000"/>
          <w:sz w:val="28"/>
          <w:szCs w:val="28"/>
        </w:rPr>
        <w:t>Aortic size index</w:t>
      </w:r>
      <w:r w:rsidR="00DC23D1" w:rsidRPr="00AC4CA6">
        <w:rPr>
          <w:rFonts w:asciiTheme="minorBidi" w:eastAsia="Times New Roman" w:hAnsiTheme="minorBidi"/>
          <w:color w:val="000000"/>
          <w:sz w:val="28"/>
          <w:szCs w:val="28"/>
        </w:rPr>
        <w:t xml:space="preserve"> ranged from 0.6 – 2.</w:t>
      </w:r>
      <w:r w:rsidR="00951E91" w:rsidRPr="00AC4CA6">
        <w:rPr>
          <w:rFonts w:asciiTheme="minorBidi" w:eastAsia="Times New Roman" w:hAnsiTheme="minorBidi"/>
          <w:color w:val="000000"/>
          <w:sz w:val="28"/>
          <w:szCs w:val="28"/>
        </w:rPr>
        <w:t>69</w:t>
      </w:r>
      <w:r w:rsidR="00DC23D1" w:rsidRPr="00AC4CA6">
        <w:rPr>
          <w:rFonts w:asciiTheme="minorBidi" w:eastAsia="Times New Roman" w:hAnsiTheme="minorBidi"/>
          <w:color w:val="000000"/>
          <w:sz w:val="28"/>
          <w:szCs w:val="28"/>
        </w:rPr>
        <w:t xml:space="preserve"> cm/m2, with mean 1.5</w:t>
      </w:r>
      <w:r w:rsidR="00951E91" w:rsidRPr="00AC4CA6">
        <w:rPr>
          <w:rFonts w:asciiTheme="minorBidi" w:eastAsia="Times New Roman" w:hAnsiTheme="minorBidi"/>
          <w:color w:val="000000"/>
          <w:sz w:val="28"/>
          <w:szCs w:val="28"/>
        </w:rPr>
        <w:t>1</w:t>
      </w:r>
      <w:r w:rsidR="00DC23D1" w:rsidRPr="00AC4CA6">
        <w:rPr>
          <w:rFonts w:asciiTheme="minorBidi" w:eastAsia="Times New Roman" w:hAnsiTheme="minorBidi"/>
          <w:color w:val="000000"/>
          <w:sz w:val="28"/>
          <w:szCs w:val="28"/>
        </w:rPr>
        <w:t xml:space="preserve"> ± 0.4</w:t>
      </w:r>
      <w:r w:rsidR="00951E91" w:rsidRPr="00AC4CA6">
        <w:rPr>
          <w:rFonts w:asciiTheme="minorBidi" w:eastAsia="Times New Roman" w:hAnsiTheme="minorBidi"/>
          <w:color w:val="000000"/>
          <w:sz w:val="28"/>
          <w:szCs w:val="28"/>
        </w:rPr>
        <w:t>5</w:t>
      </w:r>
      <w:r w:rsidR="00DC23D1" w:rsidRPr="00AC4CA6">
        <w:rPr>
          <w:rFonts w:asciiTheme="minorBidi" w:eastAsia="Times New Roman" w:hAnsiTheme="minorBidi"/>
          <w:color w:val="000000"/>
          <w:sz w:val="28"/>
          <w:szCs w:val="28"/>
        </w:rPr>
        <w:t xml:space="preserve">, </w:t>
      </w:r>
      <w:r w:rsidR="00601828" w:rsidRPr="00AC4CA6">
        <w:rPr>
          <w:rFonts w:asciiTheme="minorBidi" w:eastAsia="Times New Roman" w:hAnsiTheme="minorBidi"/>
          <w:color w:val="000000"/>
          <w:sz w:val="28"/>
          <w:szCs w:val="28"/>
        </w:rPr>
        <w:t>and m</w:t>
      </w:r>
      <w:r w:rsidR="00DC23D1" w:rsidRPr="00AC4CA6">
        <w:rPr>
          <w:rFonts w:asciiTheme="minorBidi" w:eastAsia="Times New Roman" w:hAnsiTheme="minorBidi"/>
          <w:color w:val="000000"/>
          <w:sz w:val="28"/>
          <w:szCs w:val="28"/>
        </w:rPr>
        <w:t>edian 1.4</w:t>
      </w:r>
      <w:r w:rsidR="00AF742F">
        <w:rPr>
          <w:rFonts w:asciiTheme="minorBidi" w:eastAsia="Times New Roman" w:hAnsiTheme="minorBidi"/>
          <w:color w:val="000000"/>
          <w:sz w:val="28"/>
          <w:szCs w:val="28"/>
        </w:rPr>
        <w:t>3.</w:t>
      </w:r>
    </w:p>
    <w:p w:rsidR="008D0B03" w:rsidRPr="00E84E21" w:rsidRDefault="002773D2" w:rsidP="00AF742F">
      <w:pPr>
        <w:pStyle w:val="ListParagraph"/>
        <w:numPr>
          <w:ilvl w:val="0"/>
          <w:numId w:val="18"/>
        </w:numPr>
        <w:tabs>
          <w:tab w:val="left" w:pos="1473"/>
          <w:tab w:val="center" w:pos="4300"/>
        </w:tabs>
        <w:spacing w:before="240" w:line="276" w:lineRule="auto"/>
        <w:jc w:val="both"/>
        <w:rPr>
          <w:rFonts w:asciiTheme="minorBidi" w:hAnsiTheme="minorBidi"/>
          <w:sz w:val="28"/>
          <w:szCs w:val="28"/>
        </w:rPr>
      </w:pPr>
      <w:r w:rsidRPr="00AC4CA6">
        <w:rPr>
          <w:rFonts w:asciiTheme="minorBidi" w:hAnsiTheme="minorBidi"/>
          <w:sz w:val="28"/>
          <w:szCs w:val="28"/>
        </w:rPr>
        <w:t xml:space="preserve">Ascending to descending aortic ratio ranged from 1.23 – 2, with mean 1.48 </w:t>
      </w:r>
      <w:r w:rsidRPr="00AC4CA6">
        <w:rPr>
          <w:rFonts w:asciiTheme="minorBidi" w:eastAsia="Times New Roman" w:hAnsiTheme="minorBidi"/>
          <w:color w:val="000000"/>
          <w:sz w:val="28"/>
          <w:szCs w:val="28"/>
        </w:rPr>
        <w:t xml:space="preserve">± 0.21, </w:t>
      </w:r>
      <w:r w:rsidR="00601828" w:rsidRPr="00AC4CA6">
        <w:rPr>
          <w:rFonts w:asciiTheme="minorBidi" w:eastAsia="Times New Roman" w:hAnsiTheme="minorBidi"/>
          <w:color w:val="000000"/>
          <w:sz w:val="28"/>
          <w:szCs w:val="28"/>
        </w:rPr>
        <w:t>and m</w:t>
      </w:r>
      <w:r w:rsidRPr="00AC4CA6">
        <w:rPr>
          <w:rFonts w:asciiTheme="minorBidi" w:eastAsia="Times New Roman" w:hAnsiTheme="minorBidi"/>
          <w:color w:val="000000"/>
          <w:sz w:val="28"/>
          <w:szCs w:val="28"/>
        </w:rPr>
        <w:t>edian 1.43</w:t>
      </w:r>
      <w:r w:rsidR="008E21B5" w:rsidRPr="00AC4CA6">
        <w:rPr>
          <w:rFonts w:asciiTheme="minorBidi" w:eastAsia="Times New Roman" w:hAnsiTheme="minorBidi"/>
          <w:color w:val="000000"/>
          <w:sz w:val="28"/>
          <w:szCs w:val="28"/>
        </w:rPr>
        <w:t>.</w:t>
      </w:r>
    </w:p>
    <w:p w:rsidR="00E84E21" w:rsidRPr="00AF742F" w:rsidRDefault="00E84E21" w:rsidP="00E84E21">
      <w:pPr>
        <w:pStyle w:val="ListParagraph"/>
        <w:tabs>
          <w:tab w:val="left" w:pos="1473"/>
          <w:tab w:val="center" w:pos="4300"/>
        </w:tabs>
        <w:spacing w:before="240" w:line="276" w:lineRule="auto"/>
        <w:ind w:left="1287"/>
        <w:jc w:val="both"/>
        <w:rPr>
          <w:rFonts w:asciiTheme="minorBidi" w:hAnsiTheme="minorBidi"/>
          <w:sz w:val="28"/>
          <w:szCs w:val="28"/>
        </w:rPr>
      </w:pPr>
    </w:p>
    <w:p w:rsidR="00E53BAE" w:rsidRPr="00AF742F" w:rsidRDefault="00284F2D" w:rsidP="00D601C6">
      <w:pPr>
        <w:tabs>
          <w:tab w:val="left" w:pos="1473"/>
          <w:tab w:val="center" w:pos="4300"/>
        </w:tabs>
        <w:spacing w:before="240" w:line="276" w:lineRule="auto"/>
        <w:rPr>
          <w:rFonts w:asciiTheme="minorBidi" w:hAnsiTheme="minorBidi"/>
          <w:b/>
          <w:bCs/>
          <w:sz w:val="28"/>
          <w:szCs w:val="28"/>
        </w:rPr>
      </w:pPr>
      <w:r w:rsidRPr="00EC54C0">
        <w:rPr>
          <w:rFonts w:asciiTheme="minorBidi" w:hAnsiTheme="minorBidi"/>
          <w:b/>
          <w:bCs/>
          <w:sz w:val="28"/>
          <w:szCs w:val="28"/>
        </w:rPr>
        <w:t>Table (</w:t>
      </w:r>
      <w:r w:rsidR="00D601C6">
        <w:rPr>
          <w:rFonts w:asciiTheme="minorBidi" w:hAnsiTheme="minorBidi"/>
          <w:b/>
          <w:bCs/>
          <w:sz w:val="28"/>
          <w:szCs w:val="28"/>
        </w:rPr>
        <w:t>R</w:t>
      </w:r>
      <w:r w:rsidR="006C54F8">
        <w:rPr>
          <w:rFonts w:asciiTheme="minorBidi" w:hAnsiTheme="minorBidi"/>
          <w:b/>
          <w:bCs/>
          <w:sz w:val="28"/>
          <w:szCs w:val="28"/>
        </w:rPr>
        <w:t>-</w:t>
      </w:r>
      <w:r w:rsidR="00D601C6">
        <w:rPr>
          <w:rFonts w:asciiTheme="minorBidi" w:hAnsiTheme="minorBidi"/>
          <w:b/>
          <w:bCs/>
          <w:sz w:val="28"/>
          <w:szCs w:val="28"/>
        </w:rPr>
        <w:t>15</w:t>
      </w:r>
      <w:r w:rsidRPr="00EC54C0">
        <w:rPr>
          <w:rFonts w:asciiTheme="minorBidi" w:hAnsiTheme="minorBidi"/>
          <w:b/>
          <w:bCs/>
          <w:sz w:val="28"/>
          <w:szCs w:val="28"/>
        </w:rPr>
        <w:t>)</w:t>
      </w:r>
      <w:r w:rsidR="00AF742F">
        <w:rPr>
          <w:rFonts w:asciiTheme="minorBidi" w:hAnsiTheme="minorBidi"/>
          <w:b/>
          <w:bCs/>
          <w:sz w:val="28"/>
          <w:szCs w:val="28"/>
        </w:rPr>
        <w:t>.</w:t>
      </w:r>
      <w:r w:rsidRPr="00EC54C0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8B4798" w:rsidRPr="00EC54C0">
        <w:rPr>
          <w:rFonts w:asciiTheme="minorBidi" w:hAnsiTheme="minorBidi"/>
          <w:b/>
          <w:bCs/>
          <w:sz w:val="28"/>
          <w:szCs w:val="28"/>
        </w:rPr>
        <w:t>A</w:t>
      </w:r>
      <w:r w:rsidRPr="00EC54C0">
        <w:rPr>
          <w:rFonts w:asciiTheme="minorBidi" w:hAnsiTheme="minorBidi"/>
          <w:b/>
          <w:bCs/>
          <w:sz w:val="28"/>
          <w:szCs w:val="28"/>
        </w:rPr>
        <w:t>ortic dimensions of the stud</w:t>
      </w:r>
      <w:r w:rsidR="008B4798" w:rsidRPr="00EC54C0">
        <w:rPr>
          <w:rFonts w:asciiTheme="minorBidi" w:hAnsiTheme="minorBidi"/>
          <w:b/>
          <w:bCs/>
          <w:sz w:val="28"/>
          <w:szCs w:val="28"/>
        </w:rPr>
        <w:t>ied</w:t>
      </w:r>
      <w:r w:rsidRPr="00EC54C0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8B4798" w:rsidRPr="00EC54C0">
        <w:rPr>
          <w:rFonts w:asciiTheme="minorBidi" w:hAnsiTheme="minorBidi"/>
          <w:b/>
          <w:bCs/>
          <w:sz w:val="28"/>
          <w:szCs w:val="28"/>
        </w:rPr>
        <w:t>cases</w:t>
      </w:r>
      <w:r w:rsidRPr="00EC54C0">
        <w:rPr>
          <w:rFonts w:asciiTheme="minorBidi" w:hAnsiTheme="minorBidi"/>
          <w:b/>
          <w:bCs/>
          <w:sz w:val="28"/>
          <w:szCs w:val="28"/>
        </w:rPr>
        <w:t xml:space="preserve"> by CMR.</w:t>
      </w:r>
    </w:p>
    <w:tbl>
      <w:tblPr>
        <w:tblStyle w:val="LightShading-Accent2"/>
        <w:tblW w:w="516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909"/>
        <w:gridCol w:w="859"/>
        <w:gridCol w:w="291"/>
        <w:gridCol w:w="968"/>
        <w:gridCol w:w="847"/>
        <w:gridCol w:w="430"/>
        <w:gridCol w:w="886"/>
        <w:gridCol w:w="1410"/>
        <w:gridCol w:w="847"/>
        <w:gridCol w:w="306"/>
        <w:gridCol w:w="942"/>
      </w:tblGrid>
      <w:tr w:rsidR="000D437B" w:rsidRPr="00EC54C0" w:rsidTr="00FD1D4D">
        <w:trPr>
          <w:cnfStyle w:val="100000000000"/>
          <w:trHeight w:val="300"/>
          <w:jc w:val="center"/>
        </w:trPr>
        <w:tc>
          <w:tcPr>
            <w:cnfStyle w:val="001000000000"/>
            <w:tcW w:w="98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jc w:val="mediumKashida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91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1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Range</w:t>
            </w:r>
          </w:p>
        </w:tc>
        <w:tc>
          <w:tcPr>
            <w:tcW w:w="1116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1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Mean ± SD</w:t>
            </w:r>
          </w:p>
        </w:tc>
        <w:tc>
          <w:tcPr>
            <w:tcW w:w="72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1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Median</w:t>
            </w:r>
          </w:p>
        </w:tc>
        <w:tc>
          <w:tcPr>
            <w:tcW w:w="1081" w:type="pct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1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IQR</w:t>
            </w:r>
          </w:p>
        </w:tc>
      </w:tr>
      <w:tr w:rsidR="00535157" w:rsidRPr="00EC54C0" w:rsidTr="00FD1D4D">
        <w:trPr>
          <w:cnfStyle w:val="000000100000"/>
          <w:trHeight w:val="300"/>
          <w:jc w:val="center"/>
        </w:trPr>
        <w:tc>
          <w:tcPr>
            <w:cnfStyle w:val="001000000000"/>
            <w:tcW w:w="98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FD1D4D" w:rsidP="00B60BD1">
            <w:pPr>
              <w:spacing w:before="240" w:line="276" w:lineRule="auto"/>
              <w:jc w:val="mediumKashida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Annulus</w:t>
            </w:r>
          </w:p>
        </w:tc>
        <w:tc>
          <w:tcPr>
            <w:tcW w:w="443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150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499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37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1.8</w:t>
            </w:r>
          </w:p>
        </w:tc>
        <w:tc>
          <w:tcPr>
            <w:tcW w:w="22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±</w:t>
            </w:r>
          </w:p>
        </w:tc>
        <w:tc>
          <w:tcPr>
            <w:tcW w:w="457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0.2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437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158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487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2.0</w:t>
            </w:r>
          </w:p>
        </w:tc>
      </w:tr>
      <w:tr w:rsidR="00535157" w:rsidRPr="00EC54C0" w:rsidTr="00FD1D4D">
        <w:trPr>
          <w:trHeight w:val="300"/>
          <w:jc w:val="center"/>
        </w:trPr>
        <w:tc>
          <w:tcPr>
            <w:cnfStyle w:val="001000000000"/>
            <w:tcW w:w="984" w:type="pct"/>
            <w:noWrap/>
            <w:hideMark/>
          </w:tcPr>
          <w:p w:rsidR="002C7C65" w:rsidRPr="00EC54C0" w:rsidRDefault="000D437B" w:rsidP="00B60BD1">
            <w:pPr>
              <w:spacing w:before="240" w:line="276" w:lineRule="auto"/>
              <w:jc w:val="mediumKashida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BSD</w:t>
            </w:r>
          </w:p>
        </w:tc>
        <w:tc>
          <w:tcPr>
            <w:tcW w:w="443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150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499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3.0</w:t>
            </w:r>
          </w:p>
        </w:tc>
        <w:tc>
          <w:tcPr>
            <w:tcW w:w="437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2.5</w:t>
            </w:r>
          </w:p>
        </w:tc>
        <w:tc>
          <w:tcPr>
            <w:tcW w:w="222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±</w:t>
            </w:r>
          </w:p>
        </w:tc>
        <w:tc>
          <w:tcPr>
            <w:tcW w:w="457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0.3</w:t>
            </w:r>
          </w:p>
        </w:tc>
        <w:tc>
          <w:tcPr>
            <w:tcW w:w="727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437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158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487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2.7</w:t>
            </w:r>
          </w:p>
        </w:tc>
      </w:tr>
      <w:tr w:rsidR="00535157" w:rsidRPr="00EC54C0" w:rsidTr="00FD1D4D">
        <w:trPr>
          <w:cnfStyle w:val="000000100000"/>
          <w:trHeight w:val="300"/>
          <w:jc w:val="center"/>
        </w:trPr>
        <w:tc>
          <w:tcPr>
            <w:cnfStyle w:val="001000000000"/>
            <w:tcW w:w="98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535157" w:rsidP="00B60BD1">
            <w:pPr>
              <w:spacing w:before="240" w:line="276" w:lineRule="auto"/>
              <w:jc w:val="mediumKashida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STJ</w:t>
            </w:r>
          </w:p>
        </w:tc>
        <w:tc>
          <w:tcPr>
            <w:tcW w:w="443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1.5</w:t>
            </w:r>
          </w:p>
        </w:tc>
        <w:tc>
          <w:tcPr>
            <w:tcW w:w="150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499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437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1.8</w:t>
            </w:r>
          </w:p>
        </w:tc>
        <w:tc>
          <w:tcPr>
            <w:tcW w:w="22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±</w:t>
            </w:r>
          </w:p>
        </w:tc>
        <w:tc>
          <w:tcPr>
            <w:tcW w:w="457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0.3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1.8</w:t>
            </w:r>
          </w:p>
        </w:tc>
        <w:tc>
          <w:tcPr>
            <w:tcW w:w="437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1.7</w:t>
            </w:r>
          </w:p>
        </w:tc>
        <w:tc>
          <w:tcPr>
            <w:tcW w:w="158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487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2.0</w:t>
            </w:r>
          </w:p>
        </w:tc>
      </w:tr>
      <w:tr w:rsidR="00535157" w:rsidRPr="00EC54C0" w:rsidTr="00FD1D4D">
        <w:trPr>
          <w:trHeight w:val="300"/>
          <w:jc w:val="center"/>
        </w:trPr>
        <w:tc>
          <w:tcPr>
            <w:cnfStyle w:val="001000000000"/>
            <w:tcW w:w="984" w:type="pct"/>
            <w:noWrap/>
            <w:hideMark/>
          </w:tcPr>
          <w:p w:rsidR="002C7C65" w:rsidRPr="00EC54C0" w:rsidRDefault="00535157" w:rsidP="00B60BD1">
            <w:pPr>
              <w:spacing w:before="240" w:line="276" w:lineRule="auto"/>
              <w:jc w:val="mediumKashida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AA</w:t>
            </w:r>
          </w:p>
        </w:tc>
        <w:tc>
          <w:tcPr>
            <w:tcW w:w="443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1.0</w:t>
            </w:r>
          </w:p>
        </w:tc>
        <w:tc>
          <w:tcPr>
            <w:tcW w:w="150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499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2.3</w:t>
            </w:r>
          </w:p>
        </w:tc>
        <w:tc>
          <w:tcPr>
            <w:tcW w:w="437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1.8</w:t>
            </w:r>
          </w:p>
        </w:tc>
        <w:tc>
          <w:tcPr>
            <w:tcW w:w="222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±</w:t>
            </w:r>
          </w:p>
        </w:tc>
        <w:tc>
          <w:tcPr>
            <w:tcW w:w="457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0.4</w:t>
            </w:r>
          </w:p>
        </w:tc>
        <w:tc>
          <w:tcPr>
            <w:tcW w:w="727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2.0</w:t>
            </w:r>
          </w:p>
        </w:tc>
        <w:tc>
          <w:tcPr>
            <w:tcW w:w="437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158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487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2.2</w:t>
            </w:r>
          </w:p>
        </w:tc>
      </w:tr>
      <w:tr w:rsidR="00535157" w:rsidRPr="00EC54C0" w:rsidTr="00FD1D4D">
        <w:trPr>
          <w:cnfStyle w:val="000000100000"/>
          <w:trHeight w:val="300"/>
          <w:jc w:val="center"/>
        </w:trPr>
        <w:tc>
          <w:tcPr>
            <w:cnfStyle w:val="001000000000"/>
            <w:tcW w:w="98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jc w:val="mediumKashida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Aor</w:t>
            </w:r>
            <w:r w:rsidR="00535157"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t</w:t>
            </w: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ic arch</w:t>
            </w:r>
          </w:p>
        </w:tc>
        <w:tc>
          <w:tcPr>
            <w:tcW w:w="443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0.8</w:t>
            </w:r>
          </w:p>
        </w:tc>
        <w:tc>
          <w:tcPr>
            <w:tcW w:w="150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499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2.0</w:t>
            </w:r>
          </w:p>
        </w:tc>
        <w:tc>
          <w:tcPr>
            <w:tcW w:w="437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22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±</w:t>
            </w:r>
          </w:p>
        </w:tc>
        <w:tc>
          <w:tcPr>
            <w:tcW w:w="457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0.3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437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1.4</w:t>
            </w:r>
          </w:p>
        </w:tc>
        <w:tc>
          <w:tcPr>
            <w:tcW w:w="158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487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2.0</w:t>
            </w:r>
          </w:p>
        </w:tc>
      </w:tr>
      <w:tr w:rsidR="00535157" w:rsidRPr="00EC54C0" w:rsidTr="00FD1D4D">
        <w:trPr>
          <w:trHeight w:val="300"/>
          <w:jc w:val="center"/>
        </w:trPr>
        <w:tc>
          <w:tcPr>
            <w:cnfStyle w:val="001000000000"/>
            <w:tcW w:w="984" w:type="pct"/>
            <w:noWrap/>
            <w:hideMark/>
          </w:tcPr>
          <w:p w:rsidR="002C7C65" w:rsidRPr="00EC54C0" w:rsidRDefault="00535157" w:rsidP="00B60BD1">
            <w:pPr>
              <w:spacing w:before="240" w:line="276" w:lineRule="auto"/>
              <w:jc w:val="mediumKashida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DA</w:t>
            </w:r>
          </w:p>
        </w:tc>
        <w:tc>
          <w:tcPr>
            <w:tcW w:w="443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0.7</w:t>
            </w:r>
          </w:p>
        </w:tc>
        <w:tc>
          <w:tcPr>
            <w:tcW w:w="150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499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1.6</w:t>
            </w:r>
          </w:p>
        </w:tc>
        <w:tc>
          <w:tcPr>
            <w:tcW w:w="437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222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±</w:t>
            </w:r>
          </w:p>
        </w:tc>
        <w:tc>
          <w:tcPr>
            <w:tcW w:w="457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0.3</w:t>
            </w:r>
          </w:p>
        </w:tc>
        <w:tc>
          <w:tcPr>
            <w:tcW w:w="727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37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1.0</w:t>
            </w:r>
          </w:p>
        </w:tc>
        <w:tc>
          <w:tcPr>
            <w:tcW w:w="158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487" w:type="pct"/>
            <w:noWrap/>
            <w:hideMark/>
          </w:tcPr>
          <w:p w:rsidR="002C7C65" w:rsidRPr="00EC54C0" w:rsidRDefault="002C7C65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1.4</w:t>
            </w:r>
          </w:p>
        </w:tc>
      </w:tr>
      <w:tr w:rsidR="00535157" w:rsidRPr="00EC54C0" w:rsidTr="00FD1D4D">
        <w:trPr>
          <w:cnfStyle w:val="000000100000"/>
          <w:trHeight w:val="300"/>
          <w:jc w:val="center"/>
        </w:trPr>
        <w:tc>
          <w:tcPr>
            <w:cnfStyle w:val="001000000000"/>
            <w:tcW w:w="984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F5CE1" w:rsidRPr="00EC54C0" w:rsidRDefault="00FF5CE1" w:rsidP="00B60BD1">
            <w:pPr>
              <w:spacing w:before="240" w:line="276" w:lineRule="auto"/>
              <w:jc w:val="mediumKashida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ASI</w:t>
            </w:r>
          </w:p>
        </w:tc>
        <w:tc>
          <w:tcPr>
            <w:tcW w:w="443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F5CE1" w:rsidRPr="00EC54C0" w:rsidRDefault="00FF5CE1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0.60</w:t>
            </w:r>
          </w:p>
        </w:tc>
        <w:tc>
          <w:tcPr>
            <w:tcW w:w="150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F5CE1" w:rsidRPr="00EC54C0" w:rsidRDefault="00FF5CE1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499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F5CE1" w:rsidRPr="00EC54C0" w:rsidRDefault="00FF5CE1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2.69</w:t>
            </w:r>
          </w:p>
        </w:tc>
        <w:tc>
          <w:tcPr>
            <w:tcW w:w="437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F5CE1" w:rsidRPr="00EC54C0" w:rsidRDefault="00FF5CE1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1.51</w:t>
            </w:r>
          </w:p>
        </w:tc>
        <w:tc>
          <w:tcPr>
            <w:tcW w:w="222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F5CE1" w:rsidRPr="00EC54C0" w:rsidRDefault="00FF5CE1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±</w:t>
            </w:r>
          </w:p>
        </w:tc>
        <w:tc>
          <w:tcPr>
            <w:tcW w:w="457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F5CE1" w:rsidRPr="00EC54C0" w:rsidRDefault="00FF5CE1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0.45</w:t>
            </w:r>
          </w:p>
        </w:tc>
        <w:tc>
          <w:tcPr>
            <w:tcW w:w="727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F5CE1" w:rsidRPr="00EC54C0" w:rsidRDefault="00FF5CE1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1.43</w:t>
            </w:r>
          </w:p>
        </w:tc>
        <w:tc>
          <w:tcPr>
            <w:tcW w:w="437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F5CE1" w:rsidRPr="00EC54C0" w:rsidRDefault="00FF5CE1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1.29</w:t>
            </w:r>
          </w:p>
        </w:tc>
        <w:tc>
          <w:tcPr>
            <w:tcW w:w="158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F5CE1" w:rsidRPr="00EC54C0" w:rsidRDefault="00FF5CE1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487" w:type="pct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:rsidR="00FF5CE1" w:rsidRPr="00EC54C0" w:rsidRDefault="00FF5CE1" w:rsidP="00B60BD1">
            <w:pPr>
              <w:spacing w:before="240" w:line="276" w:lineRule="auto"/>
              <w:cnfStyle w:val="0000001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1.76</w:t>
            </w:r>
          </w:p>
        </w:tc>
      </w:tr>
      <w:tr w:rsidR="00535157" w:rsidRPr="00EC54C0" w:rsidTr="00FD1D4D">
        <w:trPr>
          <w:trHeight w:val="300"/>
          <w:jc w:val="center"/>
        </w:trPr>
        <w:tc>
          <w:tcPr>
            <w:cnfStyle w:val="001000000000"/>
            <w:tcW w:w="984" w:type="pct"/>
            <w:noWrap/>
            <w:hideMark/>
          </w:tcPr>
          <w:p w:rsidR="00FF5CE1" w:rsidRPr="00EC54C0" w:rsidRDefault="00FF5CE1" w:rsidP="00B60BD1">
            <w:pPr>
              <w:spacing w:before="240" w:line="276" w:lineRule="auto"/>
              <w:jc w:val="mediumKashida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AD/DD</w:t>
            </w:r>
          </w:p>
        </w:tc>
        <w:tc>
          <w:tcPr>
            <w:tcW w:w="443" w:type="pct"/>
            <w:noWrap/>
            <w:hideMark/>
          </w:tcPr>
          <w:p w:rsidR="00FF5CE1" w:rsidRPr="00EC54C0" w:rsidRDefault="00FF5CE1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1.23</w:t>
            </w:r>
          </w:p>
        </w:tc>
        <w:tc>
          <w:tcPr>
            <w:tcW w:w="150" w:type="pct"/>
            <w:noWrap/>
            <w:hideMark/>
          </w:tcPr>
          <w:p w:rsidR="00FF5CE1" w:rsidRPr="00EC54C0" w:rsidRDefault="00FF5CE1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499" w:type="pct"/>
            <w:noWrap/>
            <w:hideMark/>
          </w:tcPr>
          <w:p w:rsidR="00FF5CE1" w:rsidRPr="00EC54C0" w:rsidRDefault="00964B8C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7" w:type="pct"/>
            <w:noWrap/>
            <w:hideMark/>
          </w:tcPr>
          <w:p w:rsidR="00FF5CE1" w:rsidRPr="00EC54C0" w:rsidRDefault="00FF5CE1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1.48</w:t>
            </w:r>
          </w:p>
        </w:tc>
        <w:tc>
          <w:tcPr>
            <w:tcW w:w="222" w:type="pct"/>
            <w:noWrap/>
            <w:hideMark/>
          </w:tcPr>
          <w:p w:rsidR="00FF5CE1" w:rsidRPr="00EC54C0" w:rsidRDefault="00FF5CE1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±</w:t>
            </w:r>
          </w:p>
        </w:tc>
        <w:tc>
          <w:tcPr>
            <w:tcW w:w="457" w:type="pct"/>
            <w:noWrap/>
            <w:hideMark/>
          </w:tcPr>
          <w:p w:rsidR="00FF5CE1" w:rsidRPr="00EC54C0" w:rsidRDefault="00FF5CE1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0.21</w:t>
            </w:r>
          </w:p>
        </w:tc>
        <w:tc>
          <w:tcPr>
            <w:tcW w:w="727" w:type="pct"/>
            <w:noWrap/>
            <w:hideMark/>
          </w:tcPr>
          <w:p w:rsidR="00FF5CE1" w:rsidRPr="00EC54C0" w:rsidRDefault="00FF5CE1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1.43</w:t>
            </w:r>
          </w:p>
        </w:tc>
        <w:tc>
          <w:tcPr>
            <w:tcW w:w="437" w:type="pct"/>
            <w:noWrap/>
            <w:hideMark/>
          </w:tcPr>
          <w:p w:rsidR="00FF5CE1" w:rsidRPr="00EC54C0" w:rsidRDefault="00FF5CE1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1.38</w:t>
            </w:r>
          </w:p>
        </w:tc>
        <w:tc>
          <w:tcPr>
            <w:tcW w:w="158" w:type="pct"/>
            <w:noWrap/>
            <w:hideMark/>
          </w:tcPr>
          <w:p w:rsidR="00FF5CE1" w:rsidRPr="00EC54C0" w:rsidRDefault="00FF5CE1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-</w:t>
            </w:r>
          </w:p>
        </w:tc>
        <w:tc>
          <w:tcPr>
            <w:tcW w:w="487" w:type="pct"/>
            <w:noWrap/>
            <w:hideMark/>
          </w:tcPr>
          <w:p w:rsidR="00FF5CE1" w:rsidRPr="00EC54C0" w:rsidRDefault="00FF5CE1" w:rsidP="00B60BD1">
            <w:pPr>
              <w:spacing w:before="240" w:line="276" w:lineRule="auto"/>
              <w:cnfStyle w:val="000000000000"/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</w:pPr>
            <w:r w:rsidRPr="00EC54C0">
              <w:rPr>
                <w:rFonts w:asciiTheme="minorBidi" w:eastAsia="Times New Roman" w:hAnsiTheme="minorBidi"/>
                <w:color w:val="000000"/>
                <w:sz w:val="28"/>
                <w:szCs w:val="28"/>
              </w:rPr>
              <w:t>1.60</w:t>
            </w:r>
          </w:p>
        </w:tc>
      </w:tr>
    </w:tbl>
    <w:p w:rsidR="00E84E21" w:rsidRDefault="00D601C6" w:rsidP="009B19AB">
      <w:pPr>
        <w:tabs>
          <w:tab w:val="left" w:pos="1473"/>
          <w:tab w:val="center" w:pos="4300"/>
        </w:tabs>
        <w:spacing w:before="240" w:line="276" w:lineRule="auto"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t>STJ</w:t>
      </w:r>
      <w:r w:rsidR="00535157" w:rsidRPr="00E84E21">
        <w:rPr>
          <w:rFonts w:asciiTheme="minorBidi" w:hAnsiTheme="minorBidi"/>
          <w:sz w:val="28"/>
          <w:szCs w:val="28"/>
        </w:rPr>
        <w:t xml:space="preserve">: </w:t>
      </w:r>
      <w:r w:rsidR="00535157" w:rsidRPr="00E84E21">
        <w:rPr>
          <w:rFonts w:asciiTheme="minorBidi" w:eastAsia="Times New Roman" w:hAnsiTheme="minorBidi"/>
          <w:color w:val="000000"/>
          <w:sz w:val="28"/>
          <w:szCs w:val="28"/>
        </w:rPr>
        <w:t>Sino-tubular Junction</w:t>
      </w:r>
      <w:r w:rsidR="000D437B" w:rsidRPr="00E84E21">
        <w:rPr>
          <w:rFonts w:asciiTheme="minorBidi" w:hAnsiTheme="minorBidi"/>
          <w:sz w:val="28"/>
          <w:szCs w:val="28"/>
        </w:rPr>
        <w:t>, BSD: Bisinus diameter.</w:t>
      </w:r>
      <w:r w:rsidR="00E84E21" w:rsidRPr="00E84E21">
        <w:rPr>
          <w:rFonts w:asciiTheme="minorBidi" w:hAnsiTheme="minorBidi"/>
          <w:sz w:val="28"/>
          <w:szCs w:val="28"/>
        </w:rPr>
        <w:br/>
      </w:r>
      <w:r w:rsidR="00535157" w:rsidRPr="00E84E21">
        <w:rPr>
          <w:rFonts w:asciiTheme="minorBidi" w:hAnsiTheme="minorBidi"/>
          <w:sz w:val="28"/>
          <w:szCs w:val="28"/>
        </w:rPr>
        <w:t>AA: Ascend</w:t>
      </w:r>
      <w:r w:rsidR="006C54F8" w:rsidRPr="00E84E21">
        <w:rPr>
          <w:rFonts w:asciiTheme="minorBidi" w:hAnsiTheme="minorBidi"/>
          <w:sz w:val="28"/>
          <w:szCs w:val="28"/>
        </w:rPr>
        <w:t xml:space="preserve">ing aorta, DA: Descending aorta, </w:t>
      </w:r>
      <w:r w:rsidR="00FF5CE1" w:rsidRPr="00E84E21">
        <w:rPr>
          <w:rFonts w:asciiTheme="minorBidi" w:hAnsiTheme="minorBidi"/>
          <w:sz w:val="28"/>
          <w:szCs w:val="28"/>
        </w:rPr>
        <w:t>ASI: Aortic size index</w:t>
      </w:r>
      <w:r w:rsidR="006C54F8" w:rsidRPr="00E84E21">
        <w:rPr>
          <w:rFonts w:asciiTheme="minorBidi" w:hAnsiTheme="minorBidi"/>
          <w:sz w:val="28"/>
          <w:szCs w:val="28"/>
        </w:rPr>
        <w:t>,</w:t>
      </w:r>
      <w:r w:rsidR="006C54F8" w:rsidRPr="00E84E21">
        <w:rPr>
          <w:rFonts w:asciiTheme="minorBidi" w:hAnsiTheme="minorBidi"/>
          <w:sz w:val="28"/>
          <w:szCs w:val="28"/>
        </w:rPr>
        <w:br/>
      </w:r>
      <w:r w:rsidR="00FF5CE1" w:rsidRPr="00E84E21">
        <w:rPr>
          <w:rFonts w:asciiTheme="minorBidi" w:hAnsiTheme="minorBidi"/>
          <w:sz w:val="28"/>
          <w:szCs w:val="28"/>
        </w:rPr>
        <w:t xml:space="preserve">AD/DD: Ascending aortic diameter/ </w:t>
      </w:r>
      <w:r w:rsidR="005944F0" w:rsidRPr="00E84E21">
        <w:rPr>
          <w:rFonts w:asciiTheme="minorBidi" w:hAnsiTheme="minorBidi"/>
          <w:sz w:val="28"/>
          <w:szCs w:val="28"/>
        </w:rPr>
        <w:t>descending</w:t>
      </w:r>
      <w:r w:rsidR="00FF5CE1" w:rsidRPr="00E84E21">
        <w:rPr>
          <w:rFonts w:asciiTheme="minorBidi" w:hAnsiTheme="minorBidi"/>
          <w:sz w:val="28"/>
          <w:szCs w:val="28"/>
        </w:rPr>
        <w:t xml:space="preserve"> aortic diameter.</w:t>
      </w:r>
      <w:r w:rsidR="00E84E21" w:rsidRPr="00E84E21">
        <w:rPr>
          <w:rFonts w:asciiTheme="minorBidi" w:hAnsiTheme="minorBidi"/>
          <w:sz w:val="28"/>
          <w:szCs w:val="28"/>
        </w:rPr>
        <w:br/>
      </w:r>
      <w:r w:rsidR="00535157" w:rsidRPr="00E84E21">
        <w:rPr>
          <w:rFonts w:asciiTheme="minorBidi" w:hAnsiTheme="minorBidi"/>
          <w:sz w:val="28"/>
          <w:szCs w:val="28"/>
        </w:rPr>
        <w:t>IQR: Interquartile range, SD: standard deviation</w:t>
      </w:r>
      <w:r w:rsidR="009B19AB">
        <w:rPr>
          <w:rFonts w:asciiTheme="minorBidi" w:hAnsiTheme="minorBidi"/>
          <w:sz w:val="28"/>
          <w:szCs w:val="28"/>
        </w:rPr>
        <w:t>.</w:t>
      </w:r>
    </w:p>
    <w:p w:rsidR="00D601C6" w:rsidRDefault="00D601C6" w:rsidP="009B19AB">
      <w:pPr>
        <w:tabs>
          <w:tab w:val="left" w:pos="1473"/>
          <w:tab w:val="center" w:pos="4300"/>
        </w:tabs>
        <w:spacing w:before="240" w:line="276" w:lineRule="auto"/>
        <w:jc w:val="both"/>
        <w:rPr>
          <w:rFonts w:asciiTheme="minorBidi" w:hAnsiTheme="minorBidi"/>
          <w:sz w:val="28"/>
          <w:szCs w:val="28"/>
        </w:rPr>
      </w:pPr>
    </w:p>
    <w:p w:rsidR="00D601C6" w:rsidRDefault="00D601C6" w:rsidP="009B19AB">
      <w:pPr>
        <w:tabs>
          <w:tab w:val="left" w:pos="1473"/>
          <w:tab w:val="center" w:pos="4300"/>
        </w:tabs>
        <w:spacing w:before="240" w:line="276" w:lineRule="auto"/>
        <w:jc w:val="both"/>
        <w:rPr>
          <w:rFonts w:asciiTheme="minorBidi" w:hAnsiTheme="minorBidi"/>
          <w:sz w:val="28"/>
          <w:szCs w:val="28"/>
        </w:rPr>
      </w:pPr>
    </w:p>
    <w:p w:rsidR="00D601C6" w:rsidRPr="009B19AB" w:rsidRDefault="00D601C6" w:rsidP="009B19AB">
      <w:pPr>
        <w:tabs>
          <w:tab w:val="left" w:pos="1473"/>
          <w:tab w:val="center" w:pos="4300"/>
        </w:tabs>
        <w:spacing w:before="240" w:line="276" w:lineRule="auto"/>
        <w:jc w:val="both"/>
        <w:rPr>
          <w:rFonts w:asciiTheme="minorBidi" w:hAnsiTheme="minorBidi"/>
          <w:sz w:val="28"/>
          <w:szCs w:val="28"/>
        </w:rPr>
      </w:pPr>
    </w:p>
    <w:p w:rsidR="00E53BAE" w:rsidRPr="00DD3C84" w:rsidRDefault="00E53BAE" w:rsidP="00DD3C84">
      <w:pPr>
        <w:pStyle w:val="ListParagraph"/>
        <w:numPr>
          <w:ilvl w:val="0"/>
          <w:numId w:val="9"/>
        </w:numPr>
        <w:shd w:val="clear" w:color="auto" w:fill="BFBFBF" w:themeFill="background1" w:themeFillShade="BF"/>
        <w:tabs>
          <w:tab w:val="left" w:pos="1473"/>
          <w:tab w:val="center" w:pos="4300"/>
        </w:tabs>
        <w:spacing w:before="240" w:line="276" w:lineRule="auto"/>
        <w:rPr>
          <w:rFonts w:asciiTheme="minorBidi" w:hAnsiTheme="minorBidi"/>
          <w:b/>
          <w:bCs/>
          <w:sz w:val="32"/>
          <w:szCs w:val="32"/>
        </w:rPr>
      </w:pPr>
      <w:r w:rsidRPr="00DD3C84">
        <w:rPr>
          <w:rFonts w:asciiTheme="minorBidi" w:hAnsiTheme="minorBidi"/>
          <w:b/>
          <w:bCs/>
          <w:sz w:val="32"/>
          <w:szCs w:val="32"/>
        </w:rPr>
        <w:lastRenderedPageBreak/>
        <w:t xml:space="preserve">Interpretation of </w:t>
      </w:r>
      <w:r w:rsidR="006165DE" w:rsidRPr="00DD3C84">
        <w:rPr>
          <w:rFonts w:asciiTheme="minorBidi" w:hAnsiTheme="minorBidi"/>
          <w:b/>
          <w:bCs/>
          <w:sz w:val="32"/>
          <w:szCs w:val="32"/>
        </w:rPr>
        <w:t>data</w:t>
      </w:r>
    </w:p>
    <w:p w:rsidR="00E53BAE" w:rsidRPr="00AF742F" w:rsidRDefault="00E53BAE" w:rsidP="0058443D">
      <w:pPr>
        <w:shd w:val="clear" w:color="auto" w:fill="F2F2F2" w:themeFill="background1" w:themeFillShade="F2"/>
        <w:tabs>
          <w:tab w:val="left" w:pos="1473"/>
          <w:tab w:val="center" w:pos="4300"/>
        </w:tabs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  <w:u w:val="single"/>
        </w:rPr>
      </w:pPr>
      <w:r w:rsidRPr="00AF742F">
        <w:rPr>
          <w:rFonts w:asciiTheme="minorBidi" w:hAnsiTheme="minorBidi"/>
          <w:b/>
          <w:bCs/>
          <w:sz w:val="28"/>
          <w:szCs w:val="28"/>
          <w:u w:val="single"/>
        </w:rPr>
        <w:t>A</w:t>
      </w:r>
      <w:r w:rsidR="008A2E5B" w:rsidRPr="00AF742F">
        <w:rPr>
          <w:rFonts w:asciiTheme="minorBidi" w:hAnsiTheme="minorBidi"/>
          <w:b/>
          <w:bCs/>
          <w:sz w:val="28"/>
          <w:szCs w:val="28"/>
          <w:u w:val="single"/>
        </w:rPr>
        <w:t xml:space="preserve"> – Aortic size index:</w:t>
      </w:r>
    </w:p>
    <w:p w:rsidR="00535157" w:rsidRPr="00EC54C0" w:rsidRDefault="008A2E5B" w:rsidP="00AF742F">
      <w:pPr>
        <w:tabs>
          <w:tab w:val="left" w:pos="1473"/>
          <w:tab w:val="center" w:pos="4300"/>
        </w:tabs>
        <w:spacing w:before="240" w:line="276" w:lineRule="auto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 xml:space="preserve">According to ASI, </w:t>
      </w:r>
      <w:r w:rsidR="001B4E10" w:rsidRPr="00EC54C0">
        <w:rPr>
          <w:rFonts w:asciiTheme="minorBidi" w:hAnsiTheme="minorBidi"/>
          <w:sz w:val="28"/>
          <w:szCs w:val="28"/>
        </w:rPr>
        <w:t xml:space="preserve">The </w:t>
      </w:r>
      <w:r w:rsidR="00701D8C" w:rsidRPr="00EC54C0">
        <w:rPr>
          <w:rFonts w:asciiTheme="minorBidi" w:hAnsiTheme="minorBidi"/>
          <w:sz w:val="28"/>
          <w:szCs w:val="28"/>
        </w:rPr>
        <w:t>study</w:t>
      </w:r>
      <w:r w:rsidR="001B4E10" w:rsidRPr="00EC54C0">
        <w:rPr>
          <w:rFonts w:asciiTheme="minorBidi" w:hAnsiTheme="minorBidi"/>
          <w:sz w:val="28"/>
          <w:szCs w:val="28"/>
        </w:rPr>
        <w:t xml:space="preserve"> </w:t>
      </w:r>
      <w:r w:rsidR="00D31929" w:rsidRPr="00EC54C0">
        <w:rPr>
          <w:rFonts w:asciiTheme="minorBidi" w:hAnsiTheme="minorBidi"/>
          <w:sz w:val="28"/>
          <w:szCs w:val="28"/>
        </w:rPr>
        <w:t>populations were</w:t>
      </w:r>
      <w:r w:rsidR="001B4E10" w:rsidRPr="00EC54C0">
        <w:rPr>
          <w:rFonts w:asciiTheme="minorBidi" w:hAnsiTheme="minorBidi"/>
          <w:sz w:val="28"/>
          <w:szCs w:val="28"/>
        </w:rPr>
        <w:t xml:space="preserve"> classified into 3 groups:</w:t>
      </w:r>
    </w:p>
    <w:p w:rsidR="00E53BAE" w:rsidRPr="0058443D" w:rsidRDefault="001B4E10" w:rsidP="00AF742F">
      <w:pPr>
        <w:pStyle w:val="ListParagraph"/>
        <w:numPr>
          <w:ilvl w:val="0"/>
          <w:numId w:val="8"/>
        </w:numPr>
        <w:tabs>
          <w:tab w:val="left" w:pos="1473"/>
          <w:tab w:val="center" w:pos="4300"/>
        </w:tabs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  <w:highlight w:val="lightGray"/>
        </w:rPr>
      </w:pPr>
      <w:r w:rsidRPr="0058443D">
        <w:rPr>
          <w:rFonts w:asciiTheme="minorBidi" w:hAnsiTheme="minorBidi"/>
          <w:b/>
          <w:bCs/>
          <w:sz w:val="28"/>
          <w:szCs w:val="28"/>
          <w:highlight w:val="lightGray"/>
        </w:rPr>
        <w:t xml:space="preserve">Group </w:t>
      </w:r>
      <w:r w:rsidR="00701D8C" w:rsidRPr="0058443D">
        <w:rPr>
          <w:rFonts w:asciiTheme="minorBidi" w:hAnsiTheme="minorBidi"/>
          <w:b/>
          <w:bCs/>
          <w:sz w:val="28"/>
          <w:szCs w:val="28"/>
          <w:highlight w:val="lightGray"/>
        </w:rPr>
        <w:t>A:</w:t>
      </w:r>
    </w:p>
    <w:p w:rsidR="00E53BAE" w:rsidRDefault="001B4E10" w:rsidP="009143C2">
      <w:pPr>
        <w:pStyle w:val="ListParagraph"/>
        <w:tabs>
          <w:tab w:val="left" w:pos="1473"/>
          <w:tab w:val="center" w:pos="4300"/>
        </w:tabs>
        <w:spacing w:before="240" w:line="276" w:lineRule="auto"/>
        <w:ind w:left="927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 xml:space="preserve"> </w:t>
      </w:r>
      <w:r w:rsidR="00E53BAE" w:rsidRPr="00EC54C0">
        <w:rPr>
          <w:rFonts w:asciiTheme="minorBidi" w:hAnsiTheme="minorBidi"/>
          <w:sz w:val="28"/>
          <w:szCs w:val="28"/>
        </w:rPr>
        <w:t>Included</w:t>
      </w:r>
      <w:r w:rsidRPr="00EC54C0">
        <w:rPr>
          <w:rFonts w:asciiTheme="minorBidi" w:hAnsiTheme="minorBidi"/>
          <w:sz w:val="28"/>
          <w:szCs w:val="28"/>
        </w:rPr>
        <w:t xml:space="preserve"> </w:t>
      </w:r>
      <w:r w:rsidR="008A2E5B" w:rsidRPr="00EC54C0">
        <w:rPr>
          <w:rFonts w:asciiTheme="minorBidi" w:hAnsiTheme="minorBidi"/>
          <w:sz w:val="28"/>
          <w:szCs w:val="28"/>
        </w:rPr>
        <w:t>one patient</w:t>
      </w:r>
      <w:r w:rsidRPr="00EC54C0">
        <w:rPr>
          <w:rFonts w:asciiTheme="minorBidi" w:hAnsiTheme="minorBidi"/>
          <w:sz w:val="28"/>
          <w:szCs w:val="28"/>
        </w:rPr>
        <w:t xml:space="preserve"> (6.7% of cases)</w:t>
      </w:r>
      <w:r w:rsidR="008A2E5B" w:rsidRPr="00EC54C0">
        <w:rPr>
          <w:rFonts w:asciiTheme="minorBidi" w:hAnsiTheme="minorBidi"/>
          <w:sz w:val="28"/>
          <w:szCs w:val="28"/>
        </w:rPr>
        <w:t xml:space="preserve"> having severe aortic dilatation for intervention </w:t>
      </w:r>
      <w:r w:rsidR="00701D8C" w:rsidRPr="00EC54C0">
        <w:rPr>
          <w:rFonts w:asciiTheme="minorBidi" w:hAnsiTheme="minorBidi"/>
          <w:sz w:val="28"/>
          <w:szCs w:val="28"/>
        </w:rPr>
        <w:t>(ASI</w:t>
      </w:r>
      <w:r w:rsidR="008A2E5B" w:rsidRPr="00EC54C0">
        <w:rPr>
          <w:rFonts w:asciiTheme="minorBidi" w:hAnsiTheme="minorBidi"/>
          <w:sz w:val="28"/>
          <w:szCs w:val="28"/>
        </w:rPr>
        <w:t xml:space="preserve"> more than 9</w:t>
      </w:r>
      <w:r w:rsidR="009B19AB">
        <w:rPr>
          <w:rFonts w:asciiTheme="minorBidi" w:hAnsiTheme="minorBidi"/>
          <w:sz w:val="28"/>
          <w:szCs w:val="28"/>
        </w:rPr>
        <w:t>9</w:t>
      </w:r>
      <w:r w:rsidR="008A2E5B" w:rsidRPr="00EC54C0">
        <w:rPr>
          <w:rFonts w:asciiTheme="minorBidi" w:hAnsiTheme="minorBidi"/>
          <w:sz w:val="28"/>
          <w:szCs w:val="28"/>
          <w:vertAlign w:val="superscript"/>
        </w:rPr>
        <w:t>th</w:t>
      </w:r>
      <w:r w:rsidR="008A2E5B" w:rsidRPr="00EC54C0">
        <w:rPr>
          <w:rFonts w:asciiTheme="minorBidi" w:hAnsiTheme="minorBidi"/>
          <w:sz w:val="28"/>
          <w:szCs w:val="28"/>
        </w:rPr>
        <w:t xml:space="preserve"> centile which is 2</w:t>
      </w:r>
      <w:r w:rsidR="009B19AB">
        <w:rPr>
          <w:rFonts w:asciiTheme="minorBidi" w:hAnsiTheme="minorBidi"/>
          <w:sz w:val="28"/>
          <w:szCs w:val="28"/>
        </w:rPr>
        <w:t>.5</w:t>
      </w:r>
      <w:r w:rsidR="008A2E5B" w:rsidRPr="00EC54C0">
        <w:rPr>
          <w:rFonts w:asciiTheme="minorBidi" w:hAnsiTheme="minorBidi"/>
          <w:sz w:val="28"/>
          <w:szCs w:val="28"/>
        </w:rPr>
        <w:t xml:space="preserve"> cm/m</w:t>
      </w:r>
      <w:r w:rsidR="00701D8C" w:rsidRPr="00EC54C0">
        <w:rPr>
          <w:rFonts w:asciiTheme="minorBidi" w:hAnsiTheme="minorBidi"/>
          <w:sz w:val="28"/>
          <w:szCs w:val="28"/>
          <w:vertAlign w:val="superscript"/>
        </w:rPr>
        <w:t>2</w:t>
      </w:r>
      <w:r w:rsidR="008A2E5B" w:rsidRPr="00EC54C0">
        <w:rPr>
          <w:rFonts w:asciiTheme="minorBidi" w:hAnsiTheme="minorBidi"/>
          <w:sz w:val="28"/>
          <w:szCs w:val="28"/>
        </w:rPr>
        <w:t>).</w:t>
      </w:r>
      <w:r w:rsidR="009143C2">
        <w:rPr>
          <w:rFonts w:asciiTheme="minorBidi" w:hAnsiTheme="minorBidi"/>
          <w:sz w:val="28"/>
          <w:szCs w:val="28"/>
        </w:rPr>
        <w:t xml:space="preserve"> Her ASI was 2.7 cm/m</w:t>
      </w:r>
      <w:r w:rsidR="009143C2" w:rsidRPr="00EC54C0">
        <w:rPr>
          <w:rFonts w:asciiTheme="minorBidi" w:hAnsiTheme="minorBidi"/>
          <w:sz w:val="28"/>
          <w:szCs w:val="28"/>
          <w:vertAlign w:val="superscript"/>
        </w:rPr>
        <w:t>2</w:t>
      </w:r>
      <w:r w:rsidR="009143C2">
        <w:rPr>
          <w:rFonts w:asciiTheme="minorBidi" w:hAnsiTheme="minorBidi"/>
          <w:sz w:val="28"/>
          <w:szCs w:val="28"/>
        </w:rPr>
        <w:t>.</w:t>
      </w:r>
      <w:r w:rsidR="009143C2" w:rsidRPr="009143C2">
        <w:rPr>
          <w:rFonts w:asciiTheme="minorBidi" w:hAnsiTheme="minorBidi"/>
          <w:sz w:val="28"/>
          <w:szCs w:val="28"/>
        </w:rPr>
        <w:t xml:space="preserve"> </w:t>
      </w:r>
    </w:p>
    <w:p w:rsidR="009143C2" w:rsidRPr="009143C2" w:rsidRDefault="009143C2" w:rsidP="009143C2">
      <w:pPr>
        <w:pStyle w:val="ListParagraph"/>
        <w:tabs>
          <w:tab w:val="left" w:pos="1473"/>
          <w:tab w:val="center" w:pos="4300"/>
        </w:tabs>
        <w:spacing w:before="240" w:line="276" w:lineRule="auto"/>
        <w:ind w:left="927"/>
        <w:jc w:val="both"/>
        <w:rPr>
          <w:rFonts w:asciiTheme="minorBidi" w:hAnsiTheme="minorBidi"/>
          <w:sz w:val="28"/>
          <w:szCs w:val="28"/>
        </w:rPr>
      </w:pPr>
    </w:p>
    <w:p w:rsidR="00701D8C" w:rsidRPr="0058443D" w:rsidRDefault="001B4E10" w:rsidP="00B60BD1">
      <w:pPr>
        <w:pStyle w:val="ListParagraph"/>
        <w:numPr>
          <w:ilvl w:val="0"/>
          <w:numId w:val="8"/>
        </w:numPr>
        <w:tabs>
          <w:tab w:val="left" w:pos="1473"/>
          <w:tab w:val="center" w:pos="4300"/>
        </w:tabs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  <w:highlight w:val="lightGray"/>
        </w:rPr>
      </w:pPr>
      <w:r w:rsidRPr="0058443D">
        <w:rPr>
          <w:rFonts w:asciiTheme="minorBidi" w:hAnsiTheme="minorBidi"/>
          <w:b/>
          <w:bCs/>
          <w:sz w:val="28"/>
          <w:szCs w:val="28"/>
          <w:highlight w:val="lightGray"/>
        </w:rPr>
        <w:t>Group B:</w:t>
      </w:r>
    </w:p>
    <w:p w:rsidR="001B4E10" w:rsidRDefault="001B4E10" w:rsidP="00AF742F">
      <w:pPr>
        <w:pStyle w:val="ListParagraph"/>
        <w:tabs>
          <w:tab w:val="left" w:pos="1473"/>
          <w:tab w:val="center" w:pos="4300"/>
        </w:tabs>
        <w:spacing w:before="240" w:line="276" w:lineRule="auto"/>
        <w:ind w:left="927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 xml:space="preserve">Included </w:t>
      </w:r>
      <w:r w:rsidR="008A2E5B" w:rsidRPr="00EC54C0">
        <w:rPr>
          <w:rFonts w:asciiTheme="minorBidi" w:hAnsiTheme="minorBidi"/>
          <w:sz w:val="28"/>
          <w:szCs w:val="28"/>
        </w:rPr>
        <w:t>t</w:t>
      </w:r>
      <w:r w:rsidRPr="00EC54C0">
        <w:rPr>
          <w:rFonts w:asciiTheme="minorBidi" w:hAnsiTheme="minorBidi"/>
          <w:sz w:val="28"/>
          <w:szCs w:val="28"/>
        </w:rPr>
        <w:t>hree</w:t>
      </w:r>
      <w:r w:rsidR="008A2E5B" w:rsidRPr="00EC54C0">
        <w:rPr>
          <w:rFonts w:asciiTheme="minorBidi" w:hAnsiTheme="minorBidi"/>
          <w:sz w:val="28"/>
          <w:szCs w:val="28"/>
        </w:rPr>
        <w:t xml:space="preserve"> patients </w:t>
      </w:r>
      <w:r w:rsidR="005A12DA" w:rsidRPr="00EC54C0">
        <w:rPr>
          <w:rFonts w:asciiTheme="minorBidi" w:hAnsiTheme="minorBidi"/>
          <w:sz w:val="28"/>
          <w:szCs w:val="28"/>
        </w:rPr>
        <w:t>(</w:t>
      </w:r>
      <w:r w:rsidRPr="00EC54C0">
        <w:rPr>
          <w:rFonts w:asciiTheme="minorBidi" w:hAnsiTheme="minorBidi"/>
          <w:sz w:val="28"/>
          <w:szCs w:val="28"/>
        </w:rPr>
        <w:t>20</w:t>
      </w:r>
      <w:r w:rsidR="005A12DA" w:rsidRPr="00EC54C0">
        <w:rPr>
          <w:rFonts w:asciiTheme="minorBidi" w:hAnsiTheme="minorBidi"/>
          <w:sz w:val="28"/>
          <w:szCs w:val="28"/>
        </w:rPr>
        <w:t xml:space="preserve">% of cases) </w:t>
      </w:r>
      <w:r w:rsidR="008A2E5B" w:rsidRPr="00EC54C0">
        <w:rPr>
          <w:rFonts w:asciiTheme="minorBidi" w:hAnsiTheme="minorBidi"/>
          <w:sz w:val="28"/>
          <w:szCs w:val="28"/>
        </w:rPr>
        <w:t>had ASI near 95</w:t>
      </w:r>
      <w:r w:rsidR="008A2E5B" w:rsidRPr="00EC54C0">
        <w:rPr>
          <w:rFonts w:asciiTheme="minorBidi" w:hAnsiTheme="minorBidi"/>
          <w:sz w:val="28"/>
          <w:szCs w:val="28"/>
          <w:vertAlign w:val="superscript"/>
        </w:rPr>
        <w:t>th</w:t>
      </w:r>
      <w:r w:rsidR="008A2E5B" w:rsidRPr="00EC54C0">
        <w:rPr>
          <w:rFonts w:asciiTheme="minorBidi" w:hAnsiTheme="minorBidi"/>
          <w:sz w:val="28"/>
          <w:szCs w:val="28"/>
        </w:rPr>
        <w:t xml:space="preserve"> centile; their ASI </w:t>
      </w:r>
      <w:r w:rsidRPr="00EC54C0">
        <w:rPr>
          <w:rFonts w:asciiTheme="minorBidi" w:hAnsiTheme="minorBidi"/>
          <w:sz w:val="28"/>
          <w:szCs w:val="28"/>
        </w:rPr>
        <w:t xml:space="preserve">approximately </w:t>
      </w:r>
      <w:r w:rsidR="008A2E5B" w:rsidRPr="00EC54C0">
        <w:rPr>
          <w:rFonts w:asciiTheme="minorBidi" w:hAnsiTheme="minorBidi"/>
          <w:sz w:val="28"/>
          <w:szCs w:val="28"/>
        </w:rPr>
        <w:t>1.</w:t>
      </w:r>
      <w:r w:rsidRPr="00EC54C0">
        <w:rPr>
          <w:rFonts w:asciiTheme="minorBidi" w:hAnsiTheme="minorBidi"/>
          <w:sz w:val="28"/>
          <w:szCs w:val="28"/>
        </w:rPr>
        <w:t>9</w:t>
      </w:r>
      <w:r w:rsidR="00B45DF9" w:rsidRPr="00EC54C0">
        <w:rPr>
          <w:rFonts w:asciiTheme="minorBidi" w:hAnsiTheme="minorBidi"/>
          <w:sz w:val="28"/>
          <w:szCs w:val="28"/>
        </w:rPr>
        <w:t xml:space="preserve"> </w:t>
      </w:r>
      <w:r w:rsidR="008A2E5B" w:rsidRPr="00EC54C0">
        <w:rPr>
          <w:rFonts w:asciiTheme="minorBidi" w:hAnsiTheme="minorBidi"/>
          <w:sz w:val="28"/>
          <w:szCs w:val="28"/>
        </w:rPr>
        <w:t>cm/m</w:t>
      </w:r>
      <w:r w:rsidR="008A2E5B" w:rsidRPr="00EC54C0">
        <w:rPr>
          <w:rFonts w:asciiTheme="minorBidi" w:hAnsiTheme="minorBidi"/>
          <w:sz w:val="28"/>
          <w:szCs w:val="28"/>
          <w:vertAlign w:val="superscript"/>
        </w:rPr>
        <w:t>2</w:t>
      </w:r>
      <w:r w:rsidR="008A2E5B" w:rsidRPr="00EC54C0">
        <w:rPr>
          <w:rFonts w:asciiTheme="minorBidi" w:hAnsiTheme="minorBidi"/>
          <w:sz w:val="28"/>
          <w:szCs w:val="28"/>
        </w:rPr>
        <w:t xml:space="preserve">, and require </w:t>
      </w:r>
      <w:r w:rsidR="005A12DA" w:rsidRPr="00EC54C0">
        <w:rPr>
          <w:rFonts w:asciiTheme="minorBidi" w:hAnsiTheme="minorBidi"/>
          <w:sz w:val="28"/>
          <w:szCs w:val="28"/>
        </w:rPr>
        <w:t xml:space="preserve">close </w:t>
      </w:r>
      <w:r w:rsidR="008A2E5B" w:rsidRPr="00EC54C0">
        <w:rPr>
          <w:rFonts w:asciiTheme="minorBidi" w:hAnsiTheme="minorBidi"/>
          <w:sz w:val="28"/>
          <w:szCs w:val="28"/>
        </w:rPr>
        <w:t>monitoring</w:t>
      </w:r>
      <w:r w:rsidR="005A12DA" w:rsidRPr="00EC54C0">
        <w:rPr>
          <w:rFonts w:asciiTheme="minorBidi" w:hAnsiTheme="minorBidi"/>
          <w:sz w:val="28"/>
          <w:szCs w:val="28"/>
        </w:rPr>
        <w:t xml:space="preserve"> of ASI</w:t>
      </w:r>
      <w:r w:rsidRPr="00EC54C0">
        <w:rPr>
          <w:rFonts w:asciiTheme="minorBidi" w:hAnsiTheme="minorBidi"/>
          <w:sz w:val="28"/>
          <w:szCs w:val="28"/>
        </w:rPr>
        <w:t xml:space="preserve"> via follow up CMR every 6 </w:t>
      </w:r>
      <w:r w:rsidR="00B45DF9" w:rsidRPr="00EC54C0">
        <w:rPr>
          <w:rFonts w:asciiTheme="minorBidi" w:hAnsiTheme="minorBidi"/>
          <w:sz w:val="28"/>
          <w:szCs w:val="28"/>
        </w:rPr>
        <w:t>months.</w:t>
      </w:r>
    </w:p>
    <w:p w:rsidR="00AF742F" w:rsidRPr="00EC54C0" w:rsidRDefault="00AF742F" w:rsidP="00AF742F">
      <w:pPr>
        <w:pStyle w:val="ListParagraph"/>
        <w:tabs>
          <w:tab w:val="left" w:pos="1473"/>
          <w:tab w:val="center" w:pos="4300"/>
        </w:tabs>
        <w:spacing w:before="240" w:line="276" w:lineRule="auto"/>
        <w:ind w:left="927"/>
        <w:jc w:val="both"/>
        <w:rPr>
          <w:rFonts w:asciiTheme="minorBidi" w:hAnsiTheme="minorBidi"/>
          <w:sz w:val="28"/>
          <w:szCs w:val="28"/>
        </w:rPr>
      </w:pPr>
    </w:p>
    <w:p w:rsidR="00701D8C" w:rsidRPr="0058443D" w:rsidRDefault="001B4E10" w:rsidP="00B60BD1">
      <w:pPr>
        <w:pStyle w:val="ListParagraph"/>
        <w:numPr>
          <w:ilvl w:val="0"/>
          <w:numId w:val="8"/>
        </w:numPr>
        <w:tabs>
          <w:tab w:val="left" w:pos="1473"/>
          <w:tab w:val="center" w:pos="4300"/>
        </w:tabs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  <w:highlight w:val="lightGray"/>
        </w:rPr>
      </w:pPr>
      <w:r w:rsidRPr="0058443D">
        <w:rPr>
          <w:rFonts w:asciiTheme="minorBidi" w:hAnsiTheme="minorBidi"/>
          <w:b/>
          <w:bCs/>
          <w:sz w:val="28"/>
          <w:szCs w:val="28"/>
          <w:highlight w:val="lightGray"/>
        </w:rPr>
        <w:t>Group C:</w:t>
      </w:r>
    </w:p>
    <w:p w:rsidR="00E84E21" w:rsidRPr="00AA00AB" w:rsidRDefault="001B4E10" w:rsidP="009143C2">
      <w:pPr>
        <w:pStyle w:val="ListParagraph"/>
        <w:tabs>
          <w:tab w:val="left" w:pos="1473"/>
          <w:tab w:val="center" w:pos="4300"/>
        </w:tabs>
        <w:spacing w:before="240" w:line="276" w:lineRule="auto"/>
        <w:ind w:left="927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>Eleven patients (</w:t>
      </w:r>
      <w:r w:rsidR="001A5FB5" w:rsidRPr="00EC54C0">
        <w:rPr>
          <w:rFonts w:asciiTheme="minorBidi" w:hAnsiTheme="minorBidi"/>
          <w:sz w:val="28"/>
          <w:szCs w:val="28"/>
        </w:rPr>
        <w:t>73.3</w:t>
      </w:r>
      <w:r w:rsidRPr="00EC54C0">
        <w:rPr>
          <w:rFonts w:asciiTheme="minorBidi" w:hAnsiTheme="minorBidi"/>
          <w:sz w:val="28"/>
          <w:szCs w:val="28"/>
        </w:rPr>
        <w:t xml:space="preserve">% of patient) had their ASI less than </w:t>
      </w:r>
      <w:r w:rsidR="00B45DF9" w:rsidRPr="00EC54C0">
        <w:rPr>
          <w:rFonts w:asciiTheme="minorBidi" w:hAnsiTheme="minorBidi"/>
          <w:sz w:val="28"/>
          <w:szCs w:val="28"/>
        </w:rPr>
        <w:t>1.5</w:t>
      </w:r>
      <w:r w:rsidRPr="00EC54C0">
        <w:rPr>
          <w:rFonts w:asciiTheme="minorBidi" w:hAnsiTheme="minorBidi"/>
          <w:sz w:val="28"/>
          <w:szCs w:val="28"/>
        </w:rPr>
        <w:t xml:space="preserve"> and require less frequent monitoring than</w:t>
      </w:r>
      <w:r w:rsidR="00B45DF9" w:rsidRPr="00EC54C0">
        <w:rPr>
          <w:rFonts w:asciiTheme="minorBidi" w:hAnsiTheme="minorBidi"/>
          <w:sz w:val="28"/>
          <w:szCs w:val="28"/>
        </w:rPr>
        <w:t xml:space="preserve"> group B</w:t>
      </w:r>
      <w:r w:rsidR="00E84E21">
        <w:rPr>
          <w:rFonts w:asciiTheme="minorBidi" w:hAnsiTheme="minorBidi"/>
          <w:sz w:val="28"/>
          <w:szCs w:val="28"/>
        </w:rPr>
        <w:t xml:space="preserve"> </w:t>
      </w:r>
      <w:r w:rsidR="009143C2">
        <w:rPr>
          <w:rFonts w:asciiTheme="minorBidi" w:hAnsiTheme="minorBidi"/>
          <w:sz w:val="28"/>
          <w:szCs w:val="28"/>
        </w:rPr>
        <w:t>(every</w:t>
      </w:r>
      <w:r w:rsidR="00E84E21">
        <w:rPr>
          <w:rFonts w:asciiTheme="minorBidi" w:hAnsiTheme="minorBidi"/>
          <w:sz w:val="28"/>
          <w:szCs w:val="28"/>
        </w:rPr>
        <w:t xml:space="preserve"> </w:t>
      </w:r>
      <w:r w:rsidR="009143C2">
        <w:rPr>
          <w:rFonts w:asciiTheme="minorBidi" w:hAnsiTheme="minorBidi"/>
          <w:sz w:val="28"/>
          <w:szCs w:val="28"/>
        </w:rPr>
        <w:t>3</w:t>
      </w:r>
      <w:r w:rsidR="00E84E21">
        <w:rPr>
          <w:rFonts w:asciiTheme="minorBidi" w:hAnsiTheme="minorBidi"/>
          <w:sz w:val="28"/>
          <w:szCs w:val="28"/>
        </w:rPr>
        <w:t>-</w:t>
      </w:r>
      <w:r w:rsidR="009143C2">
        <w:rPr>
          <w:rFonts w:asciiTheme="minorBidi" w:hAnsiTheme="minorBidi"/>
          <w:sz w:val="28"/>
          <w:szCs w:val="28"/>
        </w:rPr>
        <w:t>5</w:t>
      </w:r>
      <w:r w:rsidR="00E84E21">
        <w:rPr>
          <w:rFonts w:asciiTheme="minorBidi" w:hAnsiTheme="minorBidi"/>
          <w:sz w:val="28"/>
          <w:szCs w:val="28"/>
        </w:rPr>
        <w:t xml:space="preserve"> years)</w:t>
      </w:r>
      <w:r w:rsidR="00B45DF9" w:rsidRPr="00EC54C0">
        <w:rPr>
          <w:rFonts w:asciiTheme="minorBidi" w:hAnsiTheme="minorBidi"/>
          <w:sz w:val="28"/>
          <w:szCs w:val="28"/>
        </w:rPr>
        <w:t>.</w:t>
      </w:r>
      <w:r w:rsidRPr="00EC54C0">
        <w:rPr>
          <w:rFonts w:asciiTheme="minorBidi" w:hAnsiTheme="minorBidi"/>
          <w:sz w:val="28"/>
          <w:szCs w:val="28"/>
        </w:rPr>
        <w:t xml:space="preserve"> </w:t>
      </w:r>
    </w:p>
    <w:p w:rsidR="008708D9" w:rsidRPr="00EC54C0" w:rsidRDefault="00B45DF9" w:rsidP="0049382E">
      <w:pPr>
        <w:tabs>
          <w:tab w:val="left" w:pos="1473"/>
          <w:tab w:val="center" w:pos="4300"/>
        </w:tabs>
        <w:spacing w:before="240" w:line="276" w:lineRule="auto"/>
        <w:ind w:firstLine="142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noProof/>
          <w:sz w:val="28"/>
          <w:szCs w:val="28"/>
        </w:rPr>
        <w:drawing>
          <wp:inline distT="0" distB="0" distL="0" distR="0">
            <wp:extent cx="5343525" cy="3133725"/>
            <wp:effectExtent l="19050" t="0" r="9525" b="0"/>
            <wp:docPr id="21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E84E21" w:rsidRPr="00EC54C0" w:rsidRDefault="00F82D55" w:rsidP="00D601C6">
      <w:pPr>
        <w:tabs>
          <w:tab w:val="left" w:pos="1473"/>
          <w:tab w:val="center" w:pos="4300"/>
        </w:tabs>
        <w:spacing w:before="240" w:line="276" w:lineRule="auto"/>
        <w:rPr>
          <w:rFonts w:asciiTheme="minorBidi" w:hAnsiTheme="minorBidi"/>
          <w:b/>
          <w:bCs/>
          <w:sz w:val="28"/>
          <w:szCs w:val="28"/>
        </w:rPr>
      </w:pPr>
      <w:r w:rsidRPr="00EC54C0">
        <w:rPr>
          <w:rFonts w:asciiTheme="minorBidi" w:hAnsiTheme="minorBidi"/>
          <w:b/>
          <w:bCs/>
          <w:sz w:val="28"/>
          <w:szCs w:val="28"/>
        </w:rPr>
        <w:t>Figure (</w:t>
      </w:r>
      <w:r w:rsidR="00D601C6">
        <w:rPr>
          <w:rFonts w:asciiTheme="minorBidi" w:hAnsiTheme="minorBidi"/>
          <w:b/>
          <w:bCs/>
          <w:sz w:val="28"/>
          <w:szCs w:val="28"/>
        </w:rPr>
        <w:t>R</w:t>
      </w:r>
      <w:r w:rsidR="006C54F8">
        <w:rPr>
          <w:rFonts w:asciiTheme="minorBidi" w:hAnsiTheme="minorBidi"/>
          <w:b/>
          <w:bCs/>
          <w:sz w:val="28"/>
          <w:szCs w:val="28"/>
        </w:rPr>
        <w:t>-</w:t>
      </w:r>
      <w:r w:rsidR="00D601C6">
        <w:rPr>
          <w:rFonts w:asciiTheme="minorBidi" w:hAnsiTheme="minorBidi"/>
          <w:b/>
          <w:bCs/>
          <w:sz w:val="28"/>
          <w:szCs w:val="28"/>
        </w:rPr>
        <w:t>24</w:t>
      </w:r>
      <w:r w:rsidRPr="00EC54C0">
        <w:rPr>
          <w:rFonts w:asciiTheme="minorBidi" w:hAnsiTheme="minorBidi"/>
          <w:b/>
          <w:bCs/>
          <w:sz w:val="28"/>
          <w:szCs w:val="28"/>
        </w:rPr>
        <w:t>)</w:t>
      </w:r>
      <w:r w:rsidR="00FA4684">
        <w:rPr>
          <w:rFonts w:asciiTheme="minorBidi" w:hAnsiTheme="minorBidi"/>
          <w:b/>
          <w:bCs/>
          <w:sz w:val="28"/>
          <w:szCs w:val="28"/>
        </w:rPr>
        <w:t>.</w:t>
      </w:r>
      <w:r w:rsidRPr="00EC54C0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91065" w:rsidRPr="00EC54C0">
        <w:rPr>
          <w:rFonts w:asciiTheme="minorBidi" w:hAnsiTheme="minorBidi"/>
          <w:b/>
          <w:bCs/>
          <w:sz w:val="28"/>
          <w:szCs w:val="28"/>
        </w:rPr>
        <w:t>Interpretation</w:t>
      </w:r>
      <w:r w:rsidRPr="00EC54C0">
        <w:rPr>
          <w:rFonts w:asciiTheme="minorBidi" w:hAnsiTheme="minorBidi"/>
          <w:b/>
          <w:bCs/>
          <w:sz w:val="28"/>
          <w:szCs w:val="28"/>
        </w:rPr>
        <w:t xml:space="preserve"> of ASI of studied cases.</w:t>
      </w:r>
    </w:p>
    <w:p w:rsidR="00701D8C" w:rsidRPr="0049382E" w:rsidRDefault="00E53BAE" w:rsidP="0058443D">
      <w:pPr>
        <w:shd w:val="clear" w:color="auto" w:fill="F2F2F2" w:themeFill="background1" w:themeFillShade="F2"/>
        <w:tabs>
          <w:tab w:val="left" w:pos="1473"/>
          <w:tab w:val="center" w:pos="4300"/>
        </w:tabs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  <w:u w:val="single"/>
        </w:rPr>
      </w:pPr>
      <w:r w:rsidRPr="0049382E">
        <w:rPr>
          <w:rFonts w:asciiTheme="minorBidi" w:hAnsiTheme="minorBidi"/>
          <w:b/>
          <w:bCs/>
          <w:sz w:val="28"/>
          <w:szCs w:val="28"/>
          <w:u w:val="single"/>
        </w:rPr>
        <w:lastRenderedPageBreak/>
        <w:t>B</w:t>
      </w:r>
      <w:r w:rsidR="00036ECF" w:rsidRPr="0049382E">
        <w:rPr>
          <w:rFonts w:asciiTheme="minorBidi" w:hAnsiTheme="minorBidi"/>
          <w:b/>
          <w:bCs/>
          <w:sz w:val="28"/>
          <w:szCs w:val="28"/>
          <w:u w:val="single"/>
        </w:rPr>
        <w:t xml:space="preserve"> – Ascen</w:t>
      </w:r>
      <w:r w:rsidR="00E84E21">
        <w:rPr>
          <w:rFonts w:asciiTheme="minorBidi" w:hAnsiTheme="minorBidi"/>
          <w:b/>
          <w:bCs/>
          <w:sz w:val="28"/>
          <w:szCs w:val="28"/>
          <w:u w:val="single"/>
        </w:rPr>
        <w:t>ding to descending aortic ratio</w:t>
      </w:r>
    </w:p>
    <w:p w:rsidR="00AC11B5" w:rsidRPr="00EC54C0" w:rsidRDefault="008F5C81" w:rsidP="00D601C6">
      <w:pPr>
        <w:tabs>
          <w:tab w:val="left" w:pos="1473"/>
          <w:tab w:val="center" w:pos="4300"/>
        </w:tabs>
        <w:spacing w:before="240" w:line="276" w:lineRule="auto"/>
        <w:ind w:firstLine="567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>When using AD/DD ratio to screen for aortic dilatation, five patients (33.3% of cases) had AD/DD &gt; 1.5 which mean that one third of the stu</w:t>
      </w:r>
      <w:r w:rsidR="00D601C6">
        <w:rPr>
          <w:rFonts w:asciiTheme="minorBidi" w:hAnsiTheme="minorBidi"/>
          <w:sz w:val="28"/>
          <w:szCs w:val="28"/>
        </w:rPr>
        <w:t>dy population had dilated aorta,</w:t>
      </w:r>
      <w:r w:rsidR="00701D8C" w:rsidRPr="00EC54C0">
        <w:rPr>
          <w:rFonts w:asciiTheme="minorBidi" w:hAnsiTheme="minorBidi"/>
          <w:sz w:val="28"/>
          <w:szCs w:val="28"/>
        </w:rPr>
        <w:t xml:space="preserve"> </w:t>
      </w:r>
      <w:r w:rsidR="00D601C6">
        <w:rPr>
          <w:rFonts w:asciiTheme="minorBidi" w:hAnsiTheme="minorBidi"/>
          <w:sz w:val="28"/>
          <w:szCs w:val="28"/>
        </w:rPr>
        <w:t>a</w:t>
      </w:r>
      <w:r w:rsidRPr="00EC54C0">
        <w:rPr>
          <w:rFonts w:asciiTheme="minorBidi" w:hAnsiTheme="minorBidi"/>
          <w:sz w:val="28"/>
          <w:szCs w:val="28"/>
        </w:rPr>
        <w:t xml:space="preserve">nd </w:t>
      </w:r>
      <w:r w:rsidR="00E53BAE" w:rsidRPr="00EC54C0">
        <w:rPr>
          <w:rFonts w:asciiTheme="minorBidi" w:hAnsiTheme="minorBidi"/>
          <w:sz w:val="28"/>
          <w:szCs w:val="28"/>
        </w:rPr>
        <w:t>ten</w:t>
      </w:r>
      <w:r w:rsidRPr="00EC54C0">
        <w:rPr>
          <w:rFonts w:asciiTheme="minorBidi" w:hAnsiTheme="minorBidi"/>
          <w:sz w:val="28"/>
          <w:szCs w:val="28"/>
        </w:rPr>
        <w:t xml:space="preserve"> patients (66.7% of cases) had normal AD/DD ratio &lt;</w:t>
      </w:r>
      <w:r w:rsidR="00CB79BF" w:rsidRPr="00EC54C0">
        <w:rPr>
          <w:rFonts w:asciiTheme="minorBidi" w:hAnsiTheme="minorBidi"/>
          <w:sz w:val="28"/>
          <w:szCs w:val="28"/>
        </w:rPr>
        <w:t>1.5.</w:t>
      </w:r>
    </w:p>
    <w:p w:rsidR="006C54F8" w:rsidRPr="0049382E" w:rsidRDefault="00DB4658" w:rsidP="0049382E">
      <w:pPr>
        <w:spacing w:before="240" w:line="276" w:lineRule="auto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noProof/>
          <w:sz w:val="28"/>
          <w:szCs w:val="28"/>
        </w:rPr>
        <w:drawing>
          <wp:inline distT="0" distB="0" distL="0" distR="0">
            <wp:extent cx="5052681" cy="2041451"/>
            <wp:effectExtent l="19050" t="0" r="14619" b="0"/>
            <wp:docPr id="8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49382E" w:rsidRDefault="00F82D55" w:rsidP="00D601C6">
      <w:pPr>
        <w:spacing w:before="240" w:line="276" w:lineRule="auto"/>
        <w:rPr>
          <w:rFonts w:asciiTheme="minorBidi" w:hAnsiTheme="minorBidi"/>
          <w:b/>
          <w:bCs/>
          <w:sz w:val="28"/>
          <w:szCs w:val="28"/>
        </w:rPr>
      </w:pPr>
      <w:r w:rsidRPr="00EC54C0">
        <w:rPr>
          <w:rFonts w:asciiTheme="minorBidi" w:hAnsiTheme="minorBidi"/>
          <w:b/>
          <w:bCs/>
          <w:sz w:val="28"/>
          <w:szCs w:val="28"/>
        </w:rPr>
        <w:t>Figure (</w:t>
      </w:r>
      <w:r w:rsidR="00D601C6">
        <w:rPr>
          <w:rFonts w:asciiTheme="minorBidi" w:hAnsiTheme="minorBidi"/>
          <w:b/>
          <w:bCs/>
          <w:sz w:val="28"/>
          <w:szCs w:val="28"/>
        </w:rPr>
        <w:t>R</w:t>
      </w:r>
      <w:r w:rsidR="006C54F8">
        <w:rPr>
          <w:rFonts w:asciiTheme="minorBidi" w:hAnsiTheme="minorBidi"/>
          <w:b/>
          <w:bCs/>
          <w:sz w:val="28"/>
          <w:szCs w:val="28"/>
        </w:rPr>
        <w:t>-</w:t>
      </w:r>
      <w:r w:rsidR="00D601C6">
        <w:rPr>
          <w:rFonts w:asciiTheme="minorBidi" w:hAnsiTheme="minorBidi"/>
          <w:b/>
          <w:bCs/>
          <w:sz w:val="28"/>
          <w:szCs w:val="28"/>
        </w:rPr>
        <w:t>25</w:t>
      </w:r>
      <w:r w:rsidRPr="00EC54C0">
        <w:rPr>
          <w:rFonts w:asciiTheme="minorBidi" w:hAnsiTheme="minorBidi"/>
          <w:b/>
          <w:bCs/>
          <w:sz w:val="28"/>
          <w:szCs w:val="28"/>
        </w:rPr>
        <w:t>)</w:t>
      </w:r>
      <w:r w:rsidR="00FA4684">
        <w:rPr>
          <w:rFonts w:asciiTheme="minorBidi" w:hAnsiTheme="minorBidi"/>
          <w:b/>
          <w:bCs/>
          <w:sz w:val="28"/>
          <w:szCs w:val="28"/>
        </w:rPr>
        <w:t>.</w:t>
      </w:r>
      <w:r w:rsidRPr="00EC54C0">
        <w:rPr>
          <w:rFonts w:asciiTheme="minorBidi" w:hAnsiTheme="minorBidi"/>
          <w:b/>
          <w:bCs/>
          <w:sz w:val="28"/>
          <w:szCs w:val="28"/>
        </w:rPr>
        <w:t xml:space="preserve"> A</w:t>
      </w:r>
      <w:r w:rsidR="00D601C6">
        <w:rPr>
          <w:rFonts w:asciiTheme="minorBidi" w:hAnsiTheme="minorBidi"/>
          <w:b/>
          <w:bCs/>
          <w:sz w:val="28"/>
          <w:szCs w:val="28"/>
        </w:rPr>
        <w:t>ortic</w:t>
      </w:r>
      <w:r w:rsidRPr="00EC54C0">
        <w:rPr>
          <w:rFonts w:asciiTheme="minorBidi" w:hAnsiTheme="minorBidi"/>
          <w:b/>
          <w:bCs/>
          <w:sz w:val="28"/>
          <w:szCs w:val="28"/>
        </w:rPr>
        <w:t xml:space="preserve"> ratio in studied cases.</w:t>
      </w:r>
    </w:p>
    <w:p w:rsidR="00555DE7" w:rsidRPr="0049382E" w:rsidRDefault="0049382E" w:rsidP="0058443D">
      <w:pPr>
        <w:shd w:val="clear" w:color="auto" w:fill="F2F2F2" w:themeFill="background1" w:themeFillShade="F2"/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  <w:u w:val="single"/>
        </w:rPr>
        <w:t xml:space="preserve">C - </w:t>
      </w:r>
      <w:r w:rsidR="00DB4658" w:rsidRPr="0049382E">
        <w:rPr>
          <w:rFonts w:asciiTheme="minorBidi" w:hAnsiTheme="minorBidi"/>
          <w:b/>
          <w:bCs/>
          <w:sz w:val="28"/>
          <w:szCs w:val="28"/>
          <w:u w:val="single"/>
        </w:rPr>
        <w:t>Agreement between ASI &amp; AR</w:t>
      </w:r>
    </w:p>
    <w:p w:rsidR="0007169B" w:rsidRDefault="00555DE7" w:rsidP="0007169B">
      <w:pPr>
        <w:spacing w:before="240" w:line="276" w:lineRule="auto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>No agreement had been detected between ASI and AD/DD ratio.</w:t>
      </w:r>
    </w:p>
    <w:p w:rsidR="008D0B03" w:rsidRPr="00EC54C0" w:rsidRDefault="00EB1DB1" w:rsidP="0007169B">
      <w:pPr>
        <w:spacing w:before="240" w:line="276" w:lineRule="auto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>AD/DD ratio missed the case with severe aortic dilatation detected by ASI.</w:t>
      </w:r>
    </w:p>
    <w:p w:rsidR="008D0B03" w:rsidRPr="00EC54C0" w:rsidRDefault="008D0B03" w:rsidP="00D601C6">
      <w:pPr>
        <w:spacing w:before="240" w:line="276" w:lineRule="auto"/>
        <w:rPr>
          <w:rFonts w:asciiTheme="minorBidi" w:hAnsiTheme="minorBidi"/>
          <w:b/>
          <w:bCs/>
          <w:sz w:val="28"/>
          <w:szCs w:val="28"/>
        </w:rPr>
      </w:pPr>
      <w:r w:rsidRPr="00EC54C0">
        <w:rPr>
          <w:rFonts w:asciiTheme="minorBidi" w:hAnsiTheme="minorBidi"/>
          <w:b/>
          <w:bCs/>
          <w:sz w:val="28"/>
          <w:szCs w:val="28"/>
        </w:rPr>
        <w:t>Table (</w:t>
      </w:r>
      <w:r w:rsidR="00D601C6">
        <w:rPr>
          <w:rFonts w:asciiTheme="minorBidi" w:hAnsiTheme="minorBidi"/>
          <w:b/>
          <w:bCs/>
          <w:sz w:val="28"/>
          <w:szCs w:val="28"/>
        </w:rPr>
        <w:t>R</w:t>
      </w:r>
      <w:r w:rsidR="006C54F8">
        <w:rPr>
          <w:rFonts w:asciiTheme="minorBidi" w:hAnsiTheme="minorBidi"/>
          <w:b/>
          <w:bCs/>
          <w:sz w:val="28"/>
          <w:szCs w:val="28"/>
        </w:rPr>
        <w:t>-</w:t>
      </w:r>
      <w:r w:rsidR="00D601C6">
        <w:rPr>
          <w:rFonts w:asciiTheme="minorBidi" w:hAnsiTheme="minorBidi"/>
          <w:b/>
          <w:bCs/>
          <w:sz w:val="28"/>
          <w:szCs w:val="28"/>
        </w:rPr>
        <w:t>16</w:t>
      </w:r>
      <w:r w:rsidRPr="00EC54C0">
        <w:rPr>
          <w:rFonts w:asciiTheme="minorBidi" w:hAnsiTheme="minorBidi"/>
          <w:b/>
          <w:bCs/>
          <w:sz w:val="28"/>
          <w:szCs w:val="28"/>
        </w:rPr>
        <w:t>)</w:t>
      </w:r>
      <w:r w:rsidR="00FA4684">
        <w:rPr>
          <w:rFonts w:asciiTheme="minorBidi" w:hAnsiTheme="minorBidi"/>
          <w:b/>
          <w:bCs/>
          <w:sz w:val="28"/>
          <w:szCs w:val="28"/>
        </w:rPr>
        <w:t>.</w:t>
      </w:r>
      <w:r w:rsidRPr="00EC54C0">
        <w:rPr>
          <w:rFonts w:asciiTheme="minorBidi" w:hAnsiTheme="minorBidi"/>
          <w:b/>
          <w:bCs/>
          <w:sz w:val="28"/>
          <w:szCs w:val="28"/>
        </w:rPr>
        <w:t xml:space="preserve"> Agreement between ASI and AR.</w:t>
      </w:r>
    </w:p>
    <w:tbl>
      <w:tblPr>
        <w:tblStyle w:val="LightShading-Accent4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1354"/>
        <w:gridCol w:w="519"/>
        <w:gridCol w:w="874"/>
        <w:gridCol w:w="614"/>
        <w:gridCol w:w="874"/>
        <w:gridCol w:w="614"/>
        <w:gridCol w:w="1046"/>
        <w:gridCol w:w="1355"/>
        <w:gridCol w:w="2144"/>
      </w:tblGrid>
      <w:tr w:rsidR="00DB4658" w:rsidRPr="006C54F8" w:rsidTr="00C91065">
        <w:trPr>
          <w:cnfStyle w:val="100000000000"/>
        </w:trPr>
        <w:tc>
          <w:tcPr>
            <w:cnfStyle w:val="001000000000"/>
            <w:tcW w:w="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4" w:space="0" w:color="auto"/>
            </w:tcBorders>
          </w:tcPr>
          <w:p w:rsidR="00DB4658" w:rsidRPr="006C54F8" w:rsidRDefault="00DB4658" w:rsidP="00C91065">
            <w:pPr>
              <w:spacing w:before="24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  <w:tc>
          <w:tcPr>
            <w:tcW w:w="15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658" w:rsidRPr="007C3224" w:rsidRDefault="00DB4658" w:rsidP="00C91065">
            <w:pPr>
              <w:spacing w:before="240"/>
              <w:cnfStyle w:val="100000000000"/>
              <w:rPr>
                <w:rFonts w:asciiTheme="minorBidi" w:hAnsiTheme="minorBidi"/>
                <w:color w:val="auto"/>
                <w:sz w:val="28"/>
                <w:szCs w:val="28"/>
                <w:u w:val="single"/>
              </w:rPr>
            </w:pPr>
            <w:r w:rsidRPr="007C3224">
              <w:rPr>
                <w:rFonts w:asciiTheme="minorBidi" w:hAnsiTheme="minorBidi"/>
                <w:color w:val="auto"/>
                <w:sz w:val="28"/>
                <w:szCs w:val="28"/>
                <w:highlight w:val="lightGray"/>
                <w:u w:val="single"/>
              </w:rPr>
              <w:t>AR</w:t>
            </w:r>
          </w:p>
        </w:tc>
        <w:tc>
          <w:tcPr>
            <w:tcW w:w="884" w:type="pct"/>
            <w:gridSpan w:val="2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cnfStyle w:val="1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  <w:tc>
          <w:tcPr>
            <w:tcW w:w="72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cnfStyle w:val="1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  <w:tc>
          <w:tcPr>
            <w:tcW w:w="114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cnfStyle w:val="1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</w:tr>
      <w:tr w:rsidR="00DB4658" w:rsidRPr="006C54F8" w:rsidTr="00C91065">
        <w:trPr>
          <w:cnfStyle w:val="000000100000"/>
        </w:trPr>
        <w:tc>
          <w:tcPr>
            <w:cnfStyle w:val="001000000000"/>
            <w:tcW w:w="721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&gt; 1.5</w:t>
            </w:r>
          </w:p>
        </w:tc>
        <w:tc>
          <w:tcPr>
            <w:tcW w:w="792" w:type="pct"/>
            <w:gridSpan w:val="2"/>
            <w:tcBorders>
              <w:top w:val="single" w:sz="4" w:space="0" w:color="auto"/>
              <w:left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&lt; 1.5</w:t>
            </w:r>
          </w:p>
        </w:tc>
        <w:tc>
          <w:tcPr>
            <w:tcW w:w="884" w:type="pct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Total</w:t>
            </w:r>
          </w:p>
        </w:tc>
        <w:tc>
          <w:tcPr>
            <w:tcW w:w="721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P value</w:t>
            </w:r>
          </w:p>
        </w:tc>
        <w:tc>
          <w:tcPr>
            <w:tcW w:w="1141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Kappa value</w:t>
            </w:r>
          </w:p>
        </w:tc>
      </w:tr>
      <w:tr w:rsidR="00DB4658" w:rsidRPr="006C54F8" w:rsidTr="006C54F8">
        <w:tc>
          <w:tcPr>
            <w:cnfStyle w:val="001000000000"/>
            <w:tcW w:w="721" w:type="pct"/>
          </w:tcPr>
          <w:p w:rsidR="00DB4658" w:rsidRPr="007C3224" w:rsidRDefault="00DB4658" w:rsidP="00C91065">
            <w:pPr>
              <w:spacing w:before="240"/>
              <w:rPr>
                <w:rFonts w:asciiTheme="minorBidi" w:hAnsiTheme="minorBidi"/>
                <w:color w:val="auto"/>
                <w:sz w:val="28"/>
                <w:szCs w:val="28"/>
                <w:u w:val="single"/>
              </w:rPr>
            </w:pPr>
            <w:r w:rsidRPr="007C3224">
              <w:rPr>
                <w:rFonts w:asciiTheme="minorBidi" w:hAnsiTheme="minorBidi"/>
                <w:color w:val="auto"/>
                <w:sz w:val="28"/>
                <w:szCs w:val="28"/>
                <w:highlight w:val="lightGray"/>
                <w:u w:val="single"/>
              </w:rPr>
              <w:t>ASI</w:t>
            </w:r>
          </w:p>
        </w:tc>
        <w:tc>
          <w:tcPr>
            <w:tcW w:w="276" w:type="pct"/>
          </w:tcPr>
          <w:p w:rsidR="00DB4658" w:rsidRPr="006C54F8" w:rsidRDefault="00DB4658" w:rsidP="00C91065">
            <w:pPr>
              <w:spacing w:before="240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N</w:t>
            </w:r>
          </w:p>
        </w:tc>
        <w:tc>
          <w:tcPr>
            <w:tcW w:w="465" w:type="pct"/>
          </w:tcPr>
          <w:p w:rsidR="00DB4658" w:rsidRPr="006C54F8" w:rsidRDefault="00DB4658" w:rsidP="00C91065">
            <w:pPr>
              <w:spacing w:before="240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%</w:t>
            </w:r>
          </w:p>
        </w:tc>
        <w:tc>
          <w:tcPr>
            <w:tcW w:w="327" w:type="pct"/>
          </w:tcPr>
          <w:p w:rsidR="00DB4658" w:rsidRPr="006C54F8" w:rsidRDefault="00DB4658" w:rsidP="00C91065">
            <w:pPr>
              <w:spacing w:before="240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N</w:t>
            </w:r>
          </w:p>
        </w:tc>
        <w:tc>
          <w:tcPr>
            <w:tcW w:w="465" w:type="pct"/>
          </w:tcPr>
          <w:p w:rsidR="00DB4658" w:rsidRPr="006C54F8" w:rsidRDefault="00DB4658" w:rsidP="00C91065">
            <w:pPr>
              <w:spacing w:before="240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%</w:t>
            </w:r>
          </w:p>
        </w:tc>
        <w:tc>
          <w:tcPr>
            <w:tcW w:w="327" w:type="pct"/>
          </w:tcPr>
          <w:p w:rsidR="00DB4658" w:rsidRPr="006C54F8" w:rsidRDefault="00DB4658" w:rsidP="00C91065">
            <w:pPr>
              <w:spacing w:before="240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N</w:t>
            </w:r>
          </w:p>
        </w:tc>
        <w:tc>
          <w:tcPr>
            <w:tcW w:w="557" w:type="pct"/>
          </w:tcPr>
          <w:p w:rsidR="00DB4658" w:rsidRPr="006C54F8" w:rsidRDefault="00DB4658" w:rsidP="00C91065">
            <w:pPr>
              <w:spacing w:before="240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%</w:t>
            </w:r>
          </w:p>
        </w:tc>
        <w:tc>
          <w:tcPr>
            <w:tcW w:w="721" w:type="pct"/>
          </w:tcPr>
          <w:p w:rsidR="00DB4658" w:rsidRPr="006C54F8" w:rsidRDefault="00DB4658" w:rsidP="00C91065">
            <w:pPr>
              <w:spacing w:before="240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  <w:tc>
          <w:tcPr>
            <w:tcW w:w="1141" w:type="pct"/>
          </w:tcPr>
          <w:p w:rsidR="00DB4658" w:rsidRPr="006C54F8" w:rsidRDefault="00DB4658" w:rsidP="00C91065">
            <w:pPr>
              <w:spacing w:before="240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</w:tr>
      <w:tr w:rsidR="00DB4658" w:rsidRPr="006C54F8" w:rsidTr="006C54F8">
        <w:trPr>
          <w:cnfStyle w:val="000000100000"/>
        </w:trPr>
        <w:tc>
          <w:tcPr>
            <w:cnfStyle w:val="001000000000"/>
            <w:tcW w:w="721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ind w:left="288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≥ 2.5</w:t>
            </w:r>
          </w:p>
        </w:tc>
        <w:tc>
          <w:tcPr>
            <w:tcW w:w="276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0</w:t>
            </w:r>
          </w:p>
        </w:tc>
        <w:tc>
          <w:tcPr>
            <w:tcW w:w="465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0.0</w:t>
            </w:r>
          </w:p>
        </w:tc>
        <w:tc>
          <w:tcPr>
            <w:tcW w:w="327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1</w:t>
            </w:r>
          </w:p>
        </w:tc>
        <w:tc>
          <w:tcPr>
            <w:tcW w:w="465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6.7</w:t>
            </w:r>
          </w:p>
        </w:tc>
        <w:tc>
          <w:tcPr>
            <w:tcW w:w="327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1</w:t>
            </w:r>
          </w:p>
        </w:tc>
        <w:tc>
          <w:tcPr>
            <w:tcW w:w="557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6.7</w:t>
            </w:r>
          </w:p>
        </w:tc>
        <w:tc>
          <w:tcPr>
            <w:tcW w:w="721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0.5</w:t>
            </w:r>
          </w:p>
        </w:tc>
        <w:tc>
          <w:tcPr>
            <w:tcW w:w="1141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-0.125</w:t>
            </w:r>
          </w:p>
        </w:tc>
      </w:tr>
      <w:tr w:rsidR="00DB4658" w:rsidRPr="006C54F8" w:rsidTr="006C54F8">
        <w:tc>
          <w:tcPr>
            <w:cnfStyle w:val="001000000000"/>
            <w:tcW w:w="721" w:type="pct"/>
          </w:tcPr>
          <w:p w:rsidR="00DB4658" w:rsidRPr="006C54F8" w:rsidRDefault="00DB4658" w:rsidP="00C91065">
            <w:pPr>
              <w:spacing w:before="240"/>
              <w:ind w:left="288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&lt; 2.5</w:t>
            </w:r>
          </w:p>
        </w:tc>
        <w:tc>
          <w:tcPr>
            <w:tcW w:w="276" w:type="pct"/>
          </w:tcPr>
          <w:p w:rsidR="00DB4658" w:rsidRPr="006C54F8" w:rsidRDefault="00DB4658" w:rsidP="00C91065">
            <w:pPr>
              <w:spacing w:before="240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5</w:t>
            </w:r>
          </w:p>
        </w:tc>
        <w:tc>
          <w:tcPr>
            <w:tcW w:w="465" w:type="pct"/>
          </w:tcPr>
          <w:p w:rsidR="00DB4658" w:rsidRPr="006C54F8" w:rsidRDefault="00DB4658" w:rsidP="00C91065">
            <w:pPr>
              <w:spacing w:before="240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33.3</w:t>
            </w:r>
          </w:p>
        </w:tc>
        <w:tc>
          <w:tcPr>
            <w:tcW w:w="327" w:type="pct"/>
          </w:tcPr>
          <w:p w:rsidR="00DB4658" w:rsidRPr="006C54F8" w:rsidRDefault="00DB4658" w:rsidP="00C91065">
            <w:pPr>
              <w:spacing w:before="240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9</w:t>
            </w:r>
          </w:p>
        </w:tc>
        <w:tc>
          <w:tcPr>
            <w:tcW w:w="465" w:type="pct"/>
          </w:tcPr>
          <w:p w:rsidR="00DB4658" w:rsidRPr="006C54F8" w:rsidRDefault="00DB4658" w:rsidP="00C91065">
            <w:pPr>
              <w:spacing w:before="240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60.0</w:t>
            </w:r>
          </w:p>
        </w:tc>
        <w:tc>
          <w:tcPr>
            <w:tcW w:w="327" w:type="pct"/>
          </w:tcPr>
          <w:p w:rsidR="00DB4658" w:rsidRPr="006C54F8" w:rsidRDefault="00DB4658" w:rsidP="00C91065">
            <w:pPr>
              <w:spacing w:before="240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14</w:t>
            </w:r>
          </w:p>
        </w:tc>
        <w:tc>
          <w:tcPr>
            <w:tcW w:w="557" w:type="pct"/>
          </w:tcPr>
          <w:p w:rsidR="00DB4658" w:rsidRPr="006C54F8" w:rsidRDefault="00DB4658" w:rsidP="00C91065">
            <w:pPr>
              <w:spacing w:before="240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93.3</w:t>
            </w:r>
          </w:p>
        </w:tc>
        <w:tc>
          <w:tcPr>
            <w:tcW w:w="721" w:type="pct"/>
          </w:tcPr>
          <w:p w:rsidR="00DB4658" w:rsidRPr="006C54F8" w:rsidRDefault="00DB4658" w:rsidP="00C91065">
            <w:pPr>
              <w:spacing w:before="240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NS</w:t>
            </w:r>
          </w:p>
        </w:tc>
        <w:tc>
          <w:tcPr>
            <w:tcW w:w="1141" w:type="pct"/>
          </w:tcPr>
          <w:p w:rsidR="00DB4658" w:rsidRPr="006C54F8" w:rsidRDefault="00DB4658" w:rsidP="00C91065">
            <w:pPr>
              <w:spacing w:before="240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</w:tr>
      <w:tr w:rsidR="00DB4658" w:rsidRPr="006C54F8" w:rsidTr="006C54F8">
        <w:trPr>
          <w:cnfStyle w:val="000000100000"/>
        </w:trPr>
        <w:tc>
          <w:tcPr>
            <w:cnfStyle w:val="001000000000"/>
            <w:tcW w:w="721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ind w:left="288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Total</w:t>
            </w:r>
          </w:p>
        </w:tc>
        <w:tc>
          <w:tcPr>
            <w:tcW w:w="276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5</w:t>
            </w:r>
          </w:p>
        </w:tc>
        <w:tc>
          <w:tcPr>
            <w:tcW w:w="465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33.3</w:t>
            </w:r>
          </w:p>
        </w:tc>
        <w:tc>
          <w:tcPr>
            <w:tcW w:w="327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10</w:t>
            </w:r>
          </w:p>
        </w:tc>
        <w:tc>
          <w:tcPr>
            <w:tcW w:w="465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66.7</w:t>
            </w:r>
          </w:p>
        </w:tc>
        <w:tc>
          <w:tcPr>
            <w:tcW w:w="327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15</w:t>
            </w:r>
          </w:p>
        </w:tc>
        <w:tc>
          <w:tcPr>
            <w:tcW w:w="557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100.0</w:t>
            </w:r>
          </w:p>
        </w:tc>
        <w:tc>
          <w:tcPr>
            <w:tcW w:w="721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  <w:tc>
          <w:tcPr>
            <w:tcW w:w="1141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</w:tr>
    </w:tbl>
    <w:p w:rsidR="00DB4658" w:rsidRPr="0049382E" w:rsidRDefault="00041989" w:rsidP="0058443D">
      <w:pPr>
        <w:shd w:val="clear" w:color="auto" w:fill="F2F2F2" w:themeFill="background1" w:themeFillShade="F2"/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  <w:u w:val="single"/>
        </w:rPr>
      </w:pPr>
      <w:r w:rsidRPr="0049382E">
        <w:rPr>
          <w:rFonts w:asciiTheme="minorBidi" w:hAnsiTheme="minorBidi"/>
          <w:b/>
          <w:bCs/>
          <w:sz w:val="28"/>
          <w:szCs w:val="28"/>
          <w:u w:val="single"/>
        </w:rPr>
        <w:lastRenderedPageBreak/>
        <w:t>D-</w:t>
      </w:r>
      <w:r w:rsidR="00DB4658" w:rsidRPr="0049382E">
        <w:rPr>
          <w:rFonts w:asciiTheme="minorBidi" w:hAnsiTheme="minorBidi"/>
          <w:b/>
          <w:bCs/>
          <w:sz w:val="28"/>
          <w:szCs w:val="28"/>
          <w:u w:val="single"/>
        </w:rPr>
        <w:t>Correlation between ASI &amp; ARI</w:t>
      </w:r>
    </w:p>
    <w:p w:rsidR="00F62C15" w:rsidRPr="0049382E" w:rsidRDefault="00555DE7" w:rsidP="0049382E">
      <w:pPr>
        <w:spacing w:before="240" w:line="276" w:lineRule="auto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>Weak positive correlation had been found between ASI and AD/DD ratio.</w:t>
      </w:r>
    </w:p>
    <w:p w:rsidR="008D0B03" w:rsidRPr="00EC54C0" w:rsidRDefault="008D0B03" w:rsidP="00D601C6">
      <w:pPr>
        <w:spacing w:before="240" w:line="276" w:lineRule="auto"/>
        <w:rPr>
          <w:rFonts w:asciiTheme="minorBidi" w:hAnsiTheme="minorBidi"/>
          <w:b/>
          <w:bCs/>
          <w:sz w:val="28"/>
          <w:szCs w:val="28"/>
        </w:rPr>
      </w:pPr>
      <w:r w:rsidRPr="00EC54C0">
        <w:rPr>
          <w:rFonts w:asciiTheme="minorBidi" w:hAnsiTheme="minorBidi"/>
          <w:b/>
          <w:bCs/>
          <w:sz w:val="28"/>
          <w:szCs w:val="28"/>
        </w:rPr>
        <w:t>Table (</w:t>
      </w:r>
      <w:r w:rsidR="00D601C6">
        <w:rPr>
          <w:rFonts w:asciiTheme="minorBidi" w:hAnsiTheme="minorBidi"/>
          <w:b/>
          <w:bCs/>
          <w:sz w:val="28"/>
          <w:szCs w:val="28"/>
        </w:rPr>
        <w:t>R</w:t>
      </w:r>
      <w:r w:rsidR="006C54F8">
        <w:rPr>
          <w:rFonts w:asciiTheme="minorBidi" w:hAnsiTheme="minorBidi"/>
          <w:b/>
          <w:bCs/>
          <w:sz w:val="28"/>
          <w:szCs w:val="28"/>
        </w:rPr>
        <w:t>-</w:t>
      </w:r>
      <w:r w:rsidR="00D601C6">
        <w:rPr>
          <w:rFonts w:asciiTheme="minorBidi" w:hAnsiTheme="minorBidi"/>
          <w:b/>
          <w:bCs/>
          <w:sz w:val="28"/>
          <w:szCs w:val="28"/>
        </w:rPr>
        <w:t>17</w:t>
      </w:r>
      <w:r w:rsidRPr="00EC54C0">
        <w:rPr>
          <w:rFonts w:asciiTheme="minorBidi" w:hAnsiTheme="minorBidi"/>
          <w:b/>
          <w:bCs/>
          <w:sz w:val="28"/>
          <w:szCs w:val="28"/>
        </w:rPr>
        <w:t>)</w:t>
      </w:r>
      <w:r w:rsidR="00FA4684">
        <w:rPr>
          <w:rFonts w:asciiTheme="minorBidi" w:hAnsiTheme="minorBidi"/>
          <w:b/>
          <w:bCs/>
          <w:sz w:val="28"/>
          <w:szCs w:val="28"/>
        </w:rPr>
        <w:t>.</w:t>
      </w:r>
      <w:r w:rsidRPr="00EC54C0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8B4798" w:rsidRPr="00EC54C0">
        <w:rPr>
          <w:rFonts w:asciiTheme="minorBidi" w:hAnsiTheme="minorBidi"/>
          <w:b/>
          <w:bCs/>
          <w:sz w:val="28"/>
          <w:szCs w:val="28"/>
        </w:rPr>
        <w:t>C</w:t>
      </w:r>
      <w:r w:rsidRPr="00EC54C0">
        <w:rPr>
          <w:rFonts w:asciiTheme="minorBidi" w:hAnsiTheme="minorBidi"/>
          <w:b/>
          <w:bCs/>
          <w:sz w:val="28"/>
          <w:szCs w:val="28"/>
        </w:rPr>
        <w:t xml:space="preserve">orrelation between </w:t>
      </w:r>
      <w:r w:rsidR="00D601C6">
        <w:rPr>
          <w:rFonts w:asciiTheme="minorBidi" w:hAnsiTheme="minorBidi"/>
          <w:b/>
          <w:bCs/>
          <w:sz w:val="28"/>
          <w:szCs w:val="28"/>
        </w:rPr>
        <w:t>aortic size index</w:t>
      </w:r>
      <w:r w:rsidRPr="00EC54C0">
        <w:rPr>
          <w:rFonts w:asciiTheme="minorBidi" w:hAnsiTheme="minorBidi"/>
          <w:b/>
          <w:bCs/>
          <w:sz w:val="28"/>
          <w:szCs w:val="28"/>
        </w:rPr>
        <w:t xml:space="preserve"> and </w:t>
      </w:r>
      <w:r w:rsidR="00D601C6">
        <w:rPr>
          <w:rFonts w:asciiTheme="minorBidi" w:hAnsiTheme="minorBidi"/>
          <w:b/>
          <w:bCs/>
          <w:sz w:val="28"/>
          <w:szCs w:val="28"/>
        </w:rPr>
        <w:t>aortic ratio</w:t>
      </w:r>
      <w:r w:rsidRPr="00EC54C0">
        <w:rPr>
          <w:rFonts w:asciiTheme="minorBidi" w:hAnsiTheme="minorBidi"/>
          <w:b/>
          <w:bCs/>
          <w:sz w:val="28"/>
          <w:szCs w:val="28"/>
        </w:rPr>
        <w:t>.</w:t>
      </w:r>
    </w:p>
    <w:tbl>
      <w:tblPr>
        <w:tblStyle w:val="LightShading-Accent4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444"/>
        <w:gridCol w:w="3921"/>
        <w:gridCol w:w="3029"/>
      </w:tblGrid>
      <w:tr w:rsidR="00DB4658" w:rsidRPr="006C54F8" w:rsidTr="0007169B">
        <w:trPr>
          <w:cnfStyle w:val="100000000000"/>
        </w:trPr>
        <w:tc>
          <w:tcPr>
            <w:cnfStyle w:val="001000000000"/>
            <w:tcW w:w="1301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  <w:tc>
          <w:tcPr>
            <w:tcW w:w="208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cnfStyle w:val="1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  <w:tc>
          <w:tcPr>
            <w:tcW w:w="1612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0000" w:themeFill="text1"/>
          </w:tcPr>
          <w:p w:rsidR="00DB4658" w:rsidRPr="0007169B" w:rsidRDefault="00DB4658" w:rsidP="00C91065">
            <w:pPr>
              <w:spacing w:before="240"/>
              <w:cnfStyle w:val="100000000000"/>
              <w:rPr>
                <w:rFonts w:asciiTheme="minorBidi" w:hAnsiTheme="minorBidi"/>
                <w:color w:val="auto"/>
                <w:sz w:val="28"/>
                <w:szCs w:val="28"/>
                <w:u w:val="single"/>
              </w:rPr>
            </w:pPr>
            <w:r w:rsidRPr="0007169B">
              <w:rPr>
                <w:rFonts w:asciiTheme="minorBidi" w:hAnsiTheme="minorBidi"/>
                <w:color w:val="auto"/>
                <w:sz w:val="28"/>
                <w:szCs w:val="28"/>
                <w:u w:val="single"/>
              </w:rPr>
              <w:t>AR</w:t>
            </w:r>
          </w:p>
        </w:tc>
      </w:tr>
      <w:tr w:rsidR="00DB4658" w:rsidRPr="006C54F8" w:rsidTr="0007169B">
        <w:trPr>
          <w:cnfStyle w:val="000000100000"/>
        </w:trPr>
        <w:tc>
          <w:tcPr>
            <w:cnfStyle w:val="001000000000"/>
            <w:tcW w:w="1301" w:type="pct"/>
            <w:tcBorders>
              <w:left w:val="none" w:sz="0" w:space="0" w:color="auto"/>
              <w:right w:val="none" w:sz="0" w:space="0" w:color="auto"/>
            </w:tcBorders>
            <w:shd w:val="clear" w:color="auto" w:fill="000000" w:themeFill="text1"/>
          </w:tcPr>
          <w:p w:rsidR="00DB4658" w:rsidRPr="0007169B" w:rsidRDefault="00DB4658" w:rsidP="00C91065">
            <w:pPr>
              <w:spacing w:before="240"/>
              <w:rPr>
                <w:rFonts w:asciiTheme="minorBidi" w:hAnsiTheme="minorBidi"/>
                <w:color w:val="auto"/>
                <w:sz w:val="28"/>
                <w:szCs w:val="28"/>
                <w:u w:val="single"/>
              </w:rPr>
            </w:pPr>
            <w:r w:rsidRPr="0007169B">
              <w:rPr>
                <w:rFonts w:asciiTheme="minorBidi" w:hAnsiTheme="minorBidi"/>
                <w:color w:val="auto"/>
                <w:sz w:val="28"/>
                <w:szCs w:val="28"/>
                <w:u w:val="single"/>
              </w:rPr>
              <w:t>ASI</w:t>
            </w:r>
          </w:p>
        </w:tc>
        <w:tc>
          <w:tcPr>
            <w:tcW w:w="2087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6C54F8" w:rsidRDefault="00F62C15" w:rsidP="00C91065">
            <w:pPr>
              <w:spacing w:before="240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R</w:t>
            </w:r>
          </w:p>
        </w:tc>
        <w:tc>
          <w:tcPr>
            <w:tcW w:w="1612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6C54F8" w:rsidRDefault="00DB4658" w:rsidP="00C91065">
            <w:pPr>
              <w:spacing w:before="240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0.361</w:t>
            </w:r>
          </w:p>
        </w:tc>
      </w:tr>
      <w:tr w:rsidR="00DB4658" w:rsidRPr="006C54F8" w:rsidTr="006C54F8">
        <w:tc>
          <w:tcPr>
            <w:cnfStyle w:val="001000000000"/>
            <w:tcW w:w="1301" w:type="pct"/>
          </w:tcPr>
          <w:p w:rsidR="00DB4658" w:rsidRPr="006C54F8" w:rsidRDefault="00DB4658" w:rsidP="00C91065">
            <w:pPr>
              <w:spacing w:before="240"/>
              <w:jc w:val="right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  <w:tc>
          <w:tcPr>
            <w:tcW w:w="2087" w:type="pct"/>
          </w:tcPr>
          <w:p w:rsidR="00DB4658" w:rsidRPr="006C54F8" w:rsidRDefault="00DB4658" w:rsidP="00C91065">
            <w:pPr>
              <w:spacing w:before="240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P value</w:t>
            </w:r>
          </w:p>
        </w:tc>
        <w:tc>
          <w:tcPr>
            <w:tcW w:w="1612" w:type="pct"/>
          </w:tcPr>
          <w:p w:rsidR="00DB4658" w:rsidRPr="006C54F8" w:rsidRDefault="00DB4658" w:rsidP="00C91065">
            <w:pPr>
              <w:spacing w:before="240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6C54F8">
              <w:rPr>
                <w:rFonts w:asciiTheme="minorBidi" w:hAnsiTheme="minorBidi"/>
                <w:color w:val="auto"/>
                <w:sz w:val="28"/>
                <w:szCs w:val="28"/>
              </w:rPr>
              <w:t>0.186</w:t>
            </w:r>
          </w:p>
        </w:tc>
      </w:tr>
    </w:tbl>
    <w:p w:rsidR="00F82D55" w:rsidRPr="00EC54C0" w:rsidRDefault="00F82D55" w:rsidP="00C91065">
      <w:pPr>
        <w:spacing w:before="240" w:line="276" w:lineRule="auto"/>
        <w:jc w:val="both"/>
        <w:rPr>
          <w:rFonts w:asciiTheme="minorBidi" w:hAnsiTheme="minorBidi"/>
          <w:sz w:val="28"/>
          <w:szCs w:val="28"/>
        </w:rPr>
      </w:pPr>
    </w:p>
    <w:p w:rsidR="00DB4658" w:rsidRPr="00EC54C0" w:rsidRDefault="001E0388" w:rsidP="0049382E">
      <w:pPr>
        <w:spacing w:before="240" w:line="276" w:lineRule="auto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noProof/>
          <w:sz w:val="28"/>
          <w:szCs w:val="28"/>
        </w:rPr>
        <w:drawing>
          <wp:inline distT="0" distB="0" distL="0" distR="0">
            <wp:extent cx="5920347" cy="4648200"/>
            <wp:effectExtent l="19050" t="0" r="4203" b="0"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215" cy="4650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983" w:rsidRDefault="00F82D55" w:rsidP="00D601C6">
      <w:pPr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</w:rPr>
      </w:pPr>
      <w:r w:rsidRPr="0049382E">
        <w:rPr>
          <w:rFonts w:asciiTheme="minorBidi" w:hAnsiTheme="minorBidi"/>
          <w:b/>
          <w:bCs/>
          <w:sz w:val="28"/>
          <w:szCs w:val="28"/>
        </w:rPr>
        <w:t>Figure (</w:t>
      </w:r>
      <w:r w:rsidR="00D601C6">
        <w:rPr>
          <w:rFonts w:asciiTheme="minorBidi" w:hAnsiTheme="minorBidi"/>
          <w:b/>
          <w:bCs/>
          <w:sz w:val="28"/>
          <w:szCs w:val="28"/>
        </w:rPr>
        <w:t>R</w:t>
      </w:r>
      <w:r w:rsidR="009F4983" w:rsidRPr="0049382E">
        <w:rPr>
          <w:rFonts w:asciiTheme="minorBidi" w:hAnsiTheme="minorBidi"/>
          <w:b/>
          <w:bCs/>
          <w:sz w:val="28"/>
          <w:szCs w:val="28"/>
        </w:rPr>
        <w:t>-</w:t>
      </w:r>
      <w:r w:rsidR="00D601C6">
        <w:rPr>
          <w:rFonts w:asciiTheme="minorBidi" w:hAnsiTheme="minorBidi"/>
          <w:b/>
          <w:bCs/>
          <w:sz w:val="28"/>
          <w:szCs w:val="28"/>
        </w:rPr>
        <w:t>26</w:t>
      </w:r>
      <w:r w:rsidRPr="0049382E">
        <w:rPr>
          <w:rFonts w:asciiTheme="minorBidi" w:hAnsiTheme="minorBidi"/>
          <w:b/>
          <w:bCs/>
          <w:sz w:val="28"/>
          <w:szCs w:val="28"/>
        </w:rPr>
        <w:t>)</w:t>
      </w:r>
      <w:r w:rsidR="0007169B">
        <w:rPr>
          <w:rFonts w:asciiTheme="minorBidi" w:hAnsiTheme="minorBidi"/>
          <w:b/>
          <w:bCs/>
          <w:sz w:val="28"/>
          <w:szCs w:val="28"/>
        </w:rPr>
        <w:t>.</w:t>
      </w:r>
      <w:r w:rsidRPr="0049382E">
        <w:rPr>
          <w:rFonts w:asciiTheme="minorBidi" w:hAnsiTheme="minorBidi"/>
          <w:b/>
          <w:bCs/>
          <w:sz w:val="28"/>
          <w:szCs w:val="28"/>
        </w:rPr>
        <w:t xml:space="preserve"> Spearman correlation coefficient between ASI and AR.</w:t>
      </w:r>
    </w:p>
    <w:p w:rsidR="00D601C6" w:rsidRPr="0049382E" w:rsidRDefault="00D601C6" w:rsidP="00D601C6">
      <w:pPr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</w:rPr>
      </w:pPr>
    </w:p>
    <w:p w:rsidR="00DB4658" w:rsidRPr="0049382E" w:rsidRDefault="00041989" w:rsidP="0058443D">
      <w:pPr>
        <w:shd w:val="clear" w:color="auto" w:fill="F2F2F2" w:themeFill="background1" w:themeFillShade="F2"/>
        <w:spacing w:before="240" w:line="276" w:lineRule="auto"/>
        <w:jc w:val="both"/>
        <w:rPr>
          <w:rFonts w:asciiTheme="minorBidi" w:hAnsiTheme="minorBidi"/>
          <w:b/>
          <w:bCs/>
          <w:sz w:val="28"/>
          <w:szCs w:val="28"/>
          <w:u w:val="single"/>
        </w:rPr>
      </w:pPr>
      <w:r w:rsidRPr="0049382E">
        <w:rPr>
          <w:rFonts w:asciiTheme="minorBidi" w:hAnsiTheme="minorBidi"/>
          <w:b/>
          <w:bCs/>
          <w:sz w:val="28"/>
          <w:szCs w:val="28"/>
          <w:u w:val="single"/>
        </w:rPr>
        <w:lastRenderedPageBreak/>
        <w:t>E-</w:t>
      </w:r>
      <w:r w:rsidR="00DB4658" w:rsidRPr="0049382E">
        <w:rPr>
          <w:rFonts w:asciiTheme="minorBidi" w:hAnsiTheme="minorBidi"/>
          <w:b/>
          <w:bCs/>
          <w:sz w:val="28"/>
          <w:szCs w:val="28"/>
          <w:u w:val="single"/>
        </w:rPr>
        <w:t>Correlation of Karyotype 45</w:t>
      </w:r>
      <w:r w:rsidRPr="0049382E">
        <w:rPr>
          <w:rFonts w:asciiTheme="minorBidi" w:hAnsiTheme="minorBidi"/>
          <w:b/>
          <w:bCs/>
          <w:sz w:val="28"/>
          <w:szCs w:val="28"/>
          <w:u w:val="single"/>
        </w:rPr>
        <w:t>, X</w:t>
      </w:r>
      <w:r w:rsidR="00DB4658" w:rsidRPr="0049382E">
        <w:rPr>
          <w:rFonts w:asciiTheme="minorBidi" w:hAnsiTheme="minorBidi"/>
          <w:b/>
          <w:bCs/>
          <w:sz w:val="28"/>
          <w:szCs w:val="28"/>
          <w:u w:val="single"/>
        </w:rPr>
        <w:t xml:space="preserve"> with Aortic dilatation</w:t>
      </w:r>
    </w:p>
    <w:p w:rsidR="0049382E" w:rsidRDefault="00EB1DB1" w:rsidP="0049382E">
      <w:pPr>
        <w:spacing w:before="240" w:line="276" w:lineRule="auto"/>
        <w:jc w:val="both"/>
        <w:rPr>
          <w:rFonts w:asciiTheme="minorBidi" w:hAnsiTheme="minorBidi"/>
          <w:sz w:val="28"/>
          <w:szCs w:val="28"/>
        </w:rPr>
      </w:pPr>
      <w:r w:rsidRPr="00EC54C0">
        <w:rPr>
          <w:rFonts w:asciiTheme="minorBidi" w:hAnsiTheme="minorBidi"/>
          <w:sz w:val="28"/>
          <w:szCs w:val="28"/>
        </w:rPr>
        <w:t>No significant correlation</w:t>
      </w:r>
      <w:r w:rsidR="00EC54C0">
        <w:rPr>
          <w:rFonts w:asciiTheme="minorBidi" w:hAnsiTheme="minorBidi"/>
          <w:sz w:val="28"/>
          <w:szCs w:val="28"/>
        </w:rPr>
        <w:t xml:space="preserve"> was found</w:t>
      </w:r>
      <w:r w:rsidR="00745C50">
        <w:rPr>
          <w:rFonts w:asciiTheme="minorBidi" w:hAnsiTheme="minorBidi"/>
          <w:sz w:val="28"/>
          <w:szCs w:val="28"/>
        </w:rPr>
        <w:t xml:space="preserve"> between 45,</w:t>
      </w:r>
      <w:r w:rsidRPr="00EC54C0">
        <w:rPr>
          <w:rFonts w:asciiTheme="minorBidi" w:hAnsiTheme="minorBidi"/>
          <w:sz w:val="28"/>
          <w:szCs w:val="28"/>
        </w:rPr>
        <w:t>X karyotype</w:t>
      </w:r>
      <w:r w:rsidR="00737ACB">
        <w:rPr>
          <w:rFonts w:asciiTheme="minorBidi" w:hAnsiTheme="minorBidi"/>
          <w:sz w:val="28"/>
          <w:szCs w:val="28"/>
        </w:rPr>
        <w:t xml:space="preserve"> (when compared with other Karyotypes)</w:t>
      </w:r>
      <w:r w:rsidRPr="00EC54C0">
        <w:rPr>
          <w:rFonts w:asciiTheme="minorBidi" w:hAnsiTheme="minorBidi"/>
          <w:sz w:val="28"/>
          <w:szCs w:val="28"/>
        </w:rPr>
        <w:t xml:space="preserve"> and aortic dilatation</w:t>
      </w:r>
      <w:r w:rsidR="00737ACB">
        <w:rPr>
          <w:rFonts w:asciiTheme="minorBidi" w:hAnsiTheme="minorBidi"/>
          <w:sz w:val="28"/>
          <w:szCs w:val="28"/>
        </w:rPr>
        <w:t xml:space="preserve"> (either detected by ASI or AD/DD ratio)</w:t>
      </w:r>
      <w:r w:rsidR="00C91065">
        <w:rPr>
          <w:rFonts w:asciiTheme="minorBidi" w:hAnsiTheme="minorBidi"/>
          <w:sz w:val="28"/>
          <w:szCs w:val="28"/>
        </w:rPr>
        <w:t xml:space="preserve"> </w:t>
      </w:r>
      <w:r w:rsidR="00AA00AB">
        <w:rPr>
          <w:rFonts w:asciiTheme="minorBidi" w:hAnsiTheme="minorBidi"/>
          <w:sz w:val="28"/>
          <w:szCs w:val="28"/>
        </w:rPr>
        <w:t>among studied cases</w:t>
      </w:r>
      <w:r w:rsidRPr="00EC54C0">
        <w:rPr>
          <w:rFonts w:asciiTheme="minorBidi" w:hAnsiTheme="minorBidi"/>
          <w:sz w:val="28"/>
          <w:szCs w:val="28"/>
        </w:rPr>
        <w:t>.</w:t>
      </w:r>
    </w:p>
    <w:p w:rsidR="009F4983" w:rsidRPr="0049382E" w:rsidRDefault="0049382E" w:rsidP="00D601C6">
      <w:pPr>
        <w:spacing w:before="240" w:line="276" w:lineRule="auto"/>
        <w:jc w:val="both"/>
        <w:rPr>
          <w:rFonts w:asciiTheme="minorBidi" w:hAnsiTheme="minorBidi"/>
          <w:sz w:val="28"/>
          <w:szCs w:val="28"/>
        </w:rPr>
      </w:pPr>
      <w:r>
        <w:rPr>
          <w:rFonts w:asciiTheme="minorBidi" w:hAnsiTheme="minorBidi"/>
          <w:sz w:val="28"/>
          <w:szCs w:val="28"/>
        </w:rPr>
        <w:br/>
      </w:r>
      <w:r w:rsidR="008D0B03" w:rsidRPr="00EC54C0">
        <w:rPr>
          <w:rFonts w:asciiTheme="minorBidi" w:hAnsiTheme="minorBidi"/>
          <w:b/>
          <w:bCs/>
          <w:sz w:val="28"/>
          <w:szCs w:val="28"/>
        </w:rPr>
        <w:t>Table (</w:t>
      </w:r>
      <w:r w:rsidR="00D601C6">
        <w:rPr>
          <w:rFonts w:asciiTheme="minorBidi" w:hAnsiTheme="minorBidi"/>
          <w:b/>
          <w:bCs/>
          <w:sz w:val="28"/>
          <w:szCs w:val="28"/>
        </w:rPr>
        <w:t>R</w:t>
      </w:r>
      <w:r w:rsidR="006C54F8">
        <w:rPr>
          <w:rFonts w:asciiTheme="minorBidi" w:hAnsiTheme="minorBidi"/>
          <w:b/>
          <w:bCs/>
          <w:sz w:val="28"/>
          <w:szCs w:val="28"/>
        </w:rPr>
        <w:t>-</w:t>
      </w:r>
      <w:r w:rsidR="00D601C6">
        <w:rPr>
          <w:rFonts w:asciiTheme="minorBidi" w:hAnsiTheme="minorBidi"/>
          <w:b/>
          <w:bCs/>
          <w:sz w:val="28"/>
          <w:szCs w:val="28"/>
        </w:rPr>
        <w:t>18</w:t>
      </w:r>
      <w:r w:rsidR="008D0B03" w:rsidRPr="00EC54C0">
        <w:rPr>
          <w:rFonts w:asciiTheme="minorBidi" w:hAnsiTheme="minorBidi"/>
          <w:b/>
          <w:bCs/>
          <w:sz w:val="28"/>
          <w:szCs w:val="28"/>
        </w:rPr>
        <w:t>)</w:t>
      </w:r>
      <w:r>
        <w:rPr>
          <w:rFonts w:asciiTheme="minorBidi" w:hAnsiTheme="minorBidi"/>
          <w:b/>
          <w:bCs/>
          <w:sz w:val="28"/>
          <w:szCs w:val="28"/>
        </w:rPr>
        <w:t>.</w:t>
      </w:r>
      <w:r w:rsidR="00C91065">
        <w:rPr>
          <w:rFonts w:asciiTheme="minorBidi" w:hAnsiTheme="minorBidi"/>
          <w:b/>
          <w:bCs/>
          <w:sz w:val="28"/>
          <w:szCs w:val="28"/>
        </w:rPr>
        <w:t xml:space="preserve"> </w:t>
      </w:r>
      <w:r w:rsidR="00C91065" w:rsidRPr="00EC54C0">
        <w:rPr>
          <w:rFonts w:asciiTheme="minorBidi" w:hAnsiTheme="minorBidi"/>
          <w:b/>
          <w:bCs/>
          <w:sz w:val="28"/>
          <w:szCs w:val="28"/>
        </w:rPr>
        <w:t>Correlation</w:t>
      </w:r>
      <w:r w:rsidR="00745C50">
        <w:rPr>
          <w:rFonts w:asciiTheme="minorBidi" w:hAnsiTheme="minorBidi"/>
          <w:b/>
          <w:bCs/>
          <w:sz w:val="28"/>
          <w:szCs w:val="28"/>
        </w:rPr>
        <w:t xml:space="preserve"> between 45,</w:t>
      </w:r>
      <w:r w:rsidR="008D0B03" w:rsidRPr="00EC54C0">
        <w:rPr>
          <w:rFonts w:asciiTheme="minorBidi" w:hAnsiTheme="minorBidi"/>
          <w:b/>
          <w:bCs/>
          <w:sz w:val="28"/>
          <w:szCs w:val="28"/>
        </w:rPr>
        <w:t>X and aortic dilation.</w:t>
      </w:r>
      <w:r w:rsidR="00FA4684">
        <w:rPr>
          <w:rFonts w:asciiTheme="minorBidi" w:hAnsiTheme="minorBidi"/>
          <w:sz w:val="28"/>
          <w:szCs w:val="28"/>
        </w:rPr>
        <w:br/>
      </w:r>
    </w:p>
    <w:tbl>
      <w:tblPr>
        <w:tblStyle w:val="LightShading-Accent2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345"/>
        <w:gridCol w:w="2339"/>
        <w:gridCol w:w="2366"/>
        <w:gridCol w:w="2344"/>
      </w:tblGrid>
      <w:tr w:rsidR="00DB4658" w:rsidRPr="009F4983" w:rsidTr="00737ACB">
        <w:trPr>
          <w:cnfStyle w:val="100000000000"/>
        </w:trPr>
        <w:tc>
          <w:tcPr>
            <w:cnfStyle w:val="001000000000"/>
            <w:tcW w:w="25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4658" w:rsidRPr="009F4983" w:rsidRDefault="008D0B03" w:rsidP="00B60BD1">
            <w:pPr>
              <w:spacing w:line="276" w:lineRule="auto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Table (18</w:t>
            </w:r>
            <w:r w:rsidR="006C54F8">
              <w:rPr>
                <w:rFonts w:asciiTheme="minorBidi" w:hAnsiTheme="minorBidi"/>
                <w:color w:val="auto"/>
                <w:sz w:val="28"/>
                <w:szCs w:val="28"/>
              </w:rPr>
              <w:t>-R</w:t>
            </w: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a)</w:t>
            </w:r>
          </w:p>
        </w:tc>
        <w:tc>
          <w:tcPr>
            <w:tcW w:w="5054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1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Karyotype</w:t>
            </w:r>
          </w:p>
        </w:tc>
        <w:tc>
          <w:tcPr>
            <w:tcW w:w="25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1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</w:tr>
      <w:tr w:rsidR="00DB4658" w:rsidRPr="009F4983" w:rsidTr="00737ACB">
        <w:trPr>
          <w:cnfStyle w:val="000000100000"/>
        </w:trPr>
        <w:tc>
          <w:tcPr>
            <w:cnfStyle w:val="001000000000"/>
            <w:tcW w:w="2527" w:type="dxa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  <w:tc>
          <w:tcPr>
            <w:tcW w:w="2527" w:type="dxa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000000100000"/>
              <w:rPr>
                <w:rFonts w:asciiTheme="minorBidi" w:hAnsiTheme="minorBidi"/>
                <w:b/>
                <w:bCs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b/>
                <w:bCs/>
                <w:color w:val="auto"/>
                <w:sz w:val="28"/>
                <w:szCs w:val="28"/>
              </w:rPr>
              <w:t>45,X (n=6)</w:t>
            </w:r>
          </w:p>
        </w:tc>
        <w:tc>
          <w:tcPr>
            <w:tcW w:w="2527" w:type="dxa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000000100000"/>
              <w:rPr>
                <w:rFonts w:asciiTheme="minorBidi" w:hAnsiTheme="minorBidi"/>
                <w:b/>
                <w:bCs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b/>
                <w:bCs/>
                <w:color w:val="auto"/>
                <w:sz w:val="28"/>
                <w:szCs w:val="28"/>
              </w:rPr>
              <w:t>Others (n=9)</w:t>
            </w:r>
          </w:p>
        </w:tc>
        <w:tc>
          <w:tcPr>
            <w:tcW w:w="2528" w:type="dxa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000000100000"/>
              <w:rPr>
                <w:rFonts w:asciiTheme="minorBidi" w:hAnsiTheme="minorBidi"/>
                <w:b/>
                <w:bCs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b/>
                <w:bCs/>
                <w:color w:val="auto"/>
                <w:sz w:val="28"/>
                <w:szCs w:val="28"/>
              </w:rPr>
              <w:t>P value</w:t>
            </w:r>
          </w:p>
        </w:tc>
      </w:tr>
      <w:tr w:rsidR="00DB4658" w:rsidRPr="009F4983" w:rsidTr="00737ACB">
        <w:tc>
          <w:tcPr>
            <w:cnfStyle w:val="001000000000"/>
            <w:tcW w:w="2527" w:type="dxa"/>
          </w:tcPr>
          <w:p w:rsidR="00DB4658" w:rsidRPr="009F4983" w:rsidRDefault="00DB4658" w:rsidP="00B60BD1">
            <w:pPr>
              <w:spacing w:line="276" w:lineRule="auto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ASI</w:t>
            </w:r>
          </w:p>
        </w:tc>
        <w:tc>
          <w:tcPr>
            <w:tcW w:w="2527" w:type="dxa"/>
          </w:tcPr>
          <w:p w:rsidR="00DB4658" w:rsidRPr="009F4983" w:rsidRDefault="00DB4658" w:rsidP="00B60BD1">
            <w:pPr>
              <w:spacing w:line="276" w:lineRule="auto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1.72 ± 0.53</w:t>
            </w:r>
          </w:p>
        </w:tc>
        <w:tc>
          <w:tcPr>
            <w:tcW w:w="2527" w:type="dxa"/>
          </w:tcPr>
          <w:p w:rsidR="00DB4658" w:rsidRPr="009F4983" w:rsidRDefault="00DB4658" w:rsidP="00B60BD1">
            <w:pPr>
              <w:spacing w:line="276" w:lineRule="auto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1.36 ± 0.34</w:t>
            </w:r>
          </w:p>
        </w:tc>
        <w:tc>
          <w:tcPr>
            <w:tcW w:w="2528" w:type="dxa"/>
          </w:tcPr>
          <w:p w:rsidR="00DB4658" w:rsidRPr="009F4983" w:rsidRDefault="00DB4658" w:rsidP="00B60BD1">
            <w:pPr>
              <w:spacing w:line="276" w:lineRule="auto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0.1</w:t>
            </w:r>
          </w:p>
        </w:tc>
      </w:tr>
      <w:tr w:rsidR="00DB4658" w:rsidRPr="009F4983" w:rsidTr="00737ACB">
        <w:trPr>
          <w:cnfStyle w:val="000000100000"/>
        </w:trPr>
        <w:tc>
          <w:tcPr>
            <w:cnfStyle w:val="001000000000"/>
            <w:tcW w:w="2527" w:type="dxa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  <w:tc>
          <w:tcPr>
            <w:tcW w:w="2527" w:type="dxa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  <w:tc>
          <w:tcPr>
            <w:tcW w:w="2527" w:type="dxa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  <w:tc>
          <w:tcPr>
            <w:tcW w:w="2528" w:type="dxa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NS</w:t>
            </w:r>
          </w:p>
        </w:tc>
      </w:tr>
      <w:tr w:rsidR="00DB4658" w:rsidRPr="009F4983" w:rsidTr="00737ACB">
        <w:tc>
          <w:tcPr>
            <w:cnfStyle w:val="001000000000"/>
            <w:tcW w:w="2527" w:type="dxa"/>
          </w:tcPr>
          <w:p w:rsidR="00DB4658" w:rsidRPr="009F4983" w:rsidRDefault="00DB4658" w:rsidP="00B60BD1">
            <w:pPr>
              <w:spacing w:line="276" w:lineRule="auto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AR</w:t>
            </w:r>
          </w:p>
        </w:tc>
        <w:tc>
          <w:tcPr>
            <w:tcW w:w="2527" w:type="dxa"/>
          </w:tcPr>
          <w:p w:rsidR="00DB4658" w:rsidRPr="009F4983" w:rsidRDefault="00DB4658" w:rsidP="00B60BD1">
            <w:pPr>
              <w:spacing w:line="276" w:lineRule="auto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1.44 ± 0.10</w:t>
            </w:r>
          </w:p>
        </w:tc>
        <w:tc>
          <w:tcPr>
            <w:tcW w:w="2527" w:type="dxa"/>
          </w:tcPr>
          <w:p w:rsidR="00DB4658" w:rsidRPr="009F4983" w:rsidRDefault="00DB4658" w:rsidP="00B60BD1">
            <w:pPr>
              <w:spacing w:line="276" w:lineRule="auto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1.52 ± 0.26</w:t>
            </w:r>
          </w:p>
        </w:tc>
        <w:tc>
          <w:tcPr>
            <w:tcW w:w="2528" w:type="dxa"/>
          </w:tcPr>
          <w:p w:rsidR="00DB4658" w:rsidRPr="009F4983" w:rsidRDefault="00DB4658" w:rsidP="00B60BD1">
            <w:pPr>
              <w:spacing w:line="276" w:lineRule="auto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0.5</w:t>
            </w:r>
          </w:p>
        </w:tc>
      </w:tr>
      <w:tr w:rsidR="00DB4658" w:rsidRPr="009F4983" w:rsidTr="00737ACB">
        <w:trPr>
          <w:cnfStyle w:val="000000100000"/>
        </w:trPr>
        <w:tc>
          <w:tcPr>
            <w:cnfStyle w:val="001000000000"/>
            <w:tcW w:w="2527" w:type="dxa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  <w:tc>
          <w:tcPr>
            <w:tcW w:w="2527" w:type="dxa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  <w:tc>
          <w:tcPr>
            <w:tcW w:w="2527" w:type="dxa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  <w:tc>
          <w:tcPr>
            <w:tcW w:w="2528" w:type="dxa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NS</w:t>
            </w:r>
          </w:p>
        </w:tc>
      </w:tr>
    </w:tbl>
    <w:p w:rsidR="009F4983" w:rsidRPr="00EC54C0" w:rsidRDefault="009F4983" w:rsidP="00B60BD1">
      <w:pPr>
        <w:spacing w:line="276" w:lineRule="auto"/>
        <w:jc w:val="both"/>
        <w:rPr>
          <w:rFonts w:asciiTheme="minorBidi" w:hAnsiTheme="minorBidi"/>
          <w:sz w:val="28"/>
          <w:szCs w:val="28"/>
        </w:rPr>
      </w:pPr>
    </w:p>
    <w:tbl>
      <w:tblPr>
        <w:tblStyle w:val="LightShading-Accent2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563"/>
        <w:gridCol w:w="870"/>
        <w:gridCol w:w="1465"/>
        <w:gridCol w:w="917"/>
        <w:gridCol w:w="1851"/>
        <w:gridCol w:w="1728"/>
      </w:tblGrid>
      <w:tr w:rsidR="00DB4658" w:rsidRPr="009F4983" w:rsidTr="00737ACB">
        <w:trPr>
          <w:cnfStyle w:val="100000000000"/>
        </w:trPr>
        <w:tc>
          <w:tcPr>
            <w:cnfStyle w:val="001000000000"/>
            <w:tcW w:w="1364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4658" w:rsidRPr="009F4983" w:rsidRDefault="008D0B03" w:rsidP="00B60BD1">
            <w:pPr>
              <w:spacing w:line="276" w:lineRule="auto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Table (18</w:t>
            </w:r>
            <w:r w:rsidR="006C54F8">
              <w:rPr>
                <w:rFonts w:asciiTheme="minorBidi" w:hAnsiTheme="minorBidi"/>
                <w:color w:val="auto"/>
                <w:sz w:val="28"/>
                <w:szCs w:val="28"/>
              </w:rPr>
              <w:t>-R</w:t>
            </w: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b)</w:t>
            </w:r>
          </w:p>
        </w:tc>
        <w:tc>
          <w:tcPr>
            <w:tcW w:w="2716" w:type="pct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1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Karyotype</w:t>
            </w:r>
          </w:p>
        </w:tc>
        <w:tc>
          <w:tcPr>
            <w:tcW w:w="920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1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</w:tr>
      <w:tr w:rsidR="00DB4658" w:rsidRPr="009F4983" w:rsidTr="00737ACB">
        <w:trPr>
          <w:cnfStyle w:val="000000100000"/>
        </w:trPr>
        <w:tc>
          <w:tcPr>
            <w:cnfStyle w:val="001000000000"/>
            <w:tcW w:w="1364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  <w:tc>
          <w:tcPr>
            <w:tcW w:w="1243" w:type="pct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000000100000"/>
              <w:rPr>
                <w:rFonts w:asciiTheme="minorBidi" w:hAnsiTheme="minorBidi"/>
                <w:b/>
                <w:bCs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b/>
                <w:bCs/>
                <w:color w:val="auto"/>
                <w:sz w:val="28"/>
                <w:szCs w:val="28"/>
              </w:rPr>
              <w:t>45,X (n=6)</w:t>
            </w:r>
          </w:p>
        </w:tc>
        <w:tc>
          <w:tcPr>
            <w:tcW w:w="1473" w:type="pct"/>
            <w:gridSpan w:val="2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000000100000"/>
              <w:rPr>
                <w:rFonts w:asciiTheme="minorBidi" w:hAnsiTheme="minorBidi"/>
                <w:b/>
                <w:bCs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b/>
                <w:bCs/>
                <w:color w:val="auto"/>
                <w:sz w:val="28"/>
                <w:szCs w:val="28"/>
              </w:rPr>
              <w:t>Others (n=9)</w:t>
            </w:r>
          </w:p>
        </w:tc>
        <w:tc>
          <w:tcPr>
            <w:tcW w:w="920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000000100000"/>
              <w:rPr>
                <w:rFonts w:asciiTheme="minorBidi" w:hAnsiTheme="minorBidi"/>
                <w:b/>
                <w:bCs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b/>
                <w:bCs/>
                <w:color w:val="auto"/>
                <w:sz w:val="28"/>
                <w:szCs w:val="28"/>
              </w:rPr>
              <w:t>P value</w:t>
            </w:r>
          </w:p>
        </w:tc>
      </w:tr>
      <w:tr w:rsidR="00DB4658" w:rsidRPr="009F4983" w:rsidTr="00737ACB">
        <w:tc>
          <w:tcPr>
            <w:cnfStyle w:val="001000000000"/>
            <w:tcW w:w="1364" w:type="pct"/>
          </w:tcPr>
          <w:p w:rsidR="00DB4658" w:rsidRPr="009F4983" w:rsidRDefault="00DB4658" w:rsidP="00B60BD1">
            <w:pPr>
              <w:spacing w:line="276" w:lineRule="auto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  <w:tc>
          <w:tcPr>
            <w:tcW w:w="463" w:type="pct"/>
          </w:tcPr>
          <w:p w:rsidR="00DB4658" w:rsidRPr="009F4983" w:rsidRDefault="00DB4658" w:rsidP="00B60BD1">
            <w:pPr>
              <w:spacing w:line="276" w:lineRule="auto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N</w:t>
            </w:r>
          </w:p>
        </w:tc>
        <w:tc>
          <w:tcPr>
            <w:tcW w:w="780" w:type="pct"/>
          </w:tcPr>
          <w:p w:rsidR="00DB4658" w:rsidRPr="009F4983" w:rsidRDefault="00DB4658" w:rsidP="00B60BD1">
            <w:pPr>
              <w:spacing w:line="276" w:lineRule="auto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%</w:t>
            </w:r>
          </w:p>
        </w:tc>
        <w:tc>
          <w:tcPr>
            <w:tcW w:w="488" w:type="pct"/>
          </w:tcPr>
          <w:p w:rsidR="00DB4658" w:rsidRPr="009F4983" w:rsidRDefault="00DB4658" w:rsidP="00B60BD1">
            <w:pPr>
              <w:spacing w:line="276" w:lineRule="auto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N</w:t>
            </w:r>
          </w:p>
        </w:tc>
        <w:tc>
          <w:tcPr>
            <w:tcW w:w="985" w:type="pct"/>
          </w:tcPr>
          <w:p w:rsidR="00DB4658" w:rsidRPr="009F4983" w:rsidRDefault="00DB4658" w:rsidP="00B60BD1">
            <w:pPr>
              <w:spacing w:line="276" w:lineRule="auto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%</w:t>
            </w:r>
          </w:p>
        </w:tc>
        <w:tc>
          <w:tcPr>
            <w:tcW w:w="920" w:type="pct"/>
          </w:tcPr>
          <w:p w:rsidR="00DB4658" w:rsidRPr="009F4983" w:rsidRDefault="00DB4658" w:rsidP="00B60BD1">
            <w:pPr>
              <w:spacing w:line="276" w:lineRule="auto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</w:tr>
      <w:tr w:rsidR="00DB4658" w:rsidRPr="009F4983" w:rsidTr="00737ACB">
        <w:trPr>
          <w:cnfStyle w:val="000000100000"/>
        </w:trPr>
        <w:tc>
          <w:tcPr>
            <w:cnfStyle w:val="001000000000"/>
            <w:tcW w:w="1364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C91065" w:rsidRDefault="00DB4658" w:rsidP="00B60BD1">
            <w:pPr>
              <w:spacing w:line="276" w:lineRule="auto"/>
              <w:rPr>
                <w:rFonts w:asciiTheme="minorBidi" w:hAnsiTheme="minorBidi"/>
                <w:color w:val="auto"/>
                <w:sz w:val="28"/>
                <w:szCs w:val="28"/>
                <w:u w:val="single"/>
              </w:rPr>
            </w:pPr>
            <w:r w:rsidRPr="00C91065">
              <w:rPr>
                <w:rFonts w:asciiTheme="minorBidi" w:hAnsiTheme="minorBidi"/>
                <w:color w:val="auto"/>
                <w:sz w:val="28"/>
                <w:szCs w:val="28"/>
                <w:u w:val="single"/>
              </w:rPr>
              <w:t>ASI</w:t>
            </w:r>
          </w:p>
        </w:tc>
        <w:tc>
          <w:tcPr>
            <w:tcW w:w="463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  <w:tc>
          <w:tcPr>
            <w:tcW w:w="780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  <w:tc>
          <w:tcPr>
            <w:tcW w:w="488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  <w:tc>
          <w:tcPr>
            <w:tcW w:w="985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  <w:tc>
          <w:tcPr>
            <w:tcW w:w="920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</w:tr>
      <w:tr w:rsidR="00DB4658" w:rsidRPr="009F4983" w:rsidTr="00737ACB">
        <w:tc>
          <w:tcPr>
            <w:cnfStyle w:val="001000000000"/>
            <w:tcW w:w="1364" w:type="pct"/>
          </w:tcPr>
          <w:p w:rsidR="00DB4658" w:rsidRPr="009F4983" w:rsidRDefault="00DB4658" w:rsidP="00B60BD1">
            <w:pPr>
              <w:spacing w:line="276" w:lineRule="auto"/>
              <w:ind w:left="288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≥ 2.5</w:t>
            </w:r>
          </w:p>
        </w:tc>
        <w:tc>
          <w:tcPr>
            <w:tcW w:w="463" w:type="pct"/>
          </w:tcPr>
          <w:p w:rsidR="00DB4658" w:rsidRPr="009F4983" w:rsidRDefault="00DB4658" w:rsidP="00B60BD1">
            <w:pPr>
              <w:spacing w:line="276" w:lineRule="auto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1</w:t>
            </w:r>
          </w:p>
        </w:tc>
        <w:tc>
          <w:tcPr>
            <w:tcW w:w="780" w:type="pct"/>
          </w:tcPr>
          <w:p w:rsidR="00DB4658" w:rsidRPr="009F4983" w:rsidRDefault="00DB4658" w:rsidP="00B60BD1">
            <w:pPr>
              <w:spacing w:line="276" w:lineRule="auto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16.7</w:t>
            </w:r>
          </w:p>
        </w:tc>
        <w:tc>
          <w:tcPr>
            <w:tcW w:w="488" w:type="pct"/>
          </w:tcPr>
          <w:p w:rsidR="00DB4658" w:rsidRPr="009F4983" w:rsidRDefault="00DB4658" w:rsidP="00B60BD1">
            <w:pPr>
              <w:spacing w:line="276" w:lineRule="auto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0</w:t>
            </w:r>
          </w:p>
        </w:tc>
        <w:tc>
          <w:tcPr>
            <w:tcW w:w="985" w:type="pct"/>
          </w:tcPr>
          <w:p w:rsidR="00DB4658" w:rsidRPr="009F4983" w:rsidRDefault="00DB4658" w:rsidP="00B60BD1">
            <w:pPr>
              <w:spacing w:line="276" w:lineRule="auto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0.0</w:t>
            </w:r>
          </w:p>
        </w:tc>
        <w:tc>
          <w:tcPr>
            <w:tcW w:w="920" w:type="pct"/>
          </w:tcPr>
          <w:p w:rsidR="00DB4658" w:rsidRPr="009F4983" w:rsidRDefault="00DB4658" w:rsidP="00B60BD1">
            <w:pPr>
              <w:spacing w:line="276" w:lineRule="auto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0.4</w:t>
            </w:r>
          </w:p>
        </w:tc>
      </w:tr>
      <w:tr w:rsidR="00DB4658" w:rsidRPr="009F4983" w:rsidTr="00737ACB">
        <w:trPr>
          <w:cnfStyle w:val="000000100000"/>
        </w:trPr>
        <w:tc>
          <w:tcPr>
            <w:cnfStyle w:val="001000000000"/>
            <w:tcW w:w="1364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ind w:left="288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&lt; 2.5</w:t>
            </w:r>
          </w:p>
        </w:tc>
        <w:tc>
          <w:tcPr>
            <w:tcW w:w="463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5</w:t>
            </w:r>
          </w:p>
        </w:tc>
        <w:tc>
          <w:tcPr>
            <w:tcW w:w="780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83.3</w:t>
            </w:r>
          </w:p>
        </w:tc>
        <w:tc>
          <w:tcPr>
            <w:tcW w:w="488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9</w:t>
            </w:r>
          </w:p>
        </w:tc>
        <w:tc>
          <w:tcPr>
            <w:tcW w:w="985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100.0</w:t>
            </w:r>
          </w:p>
        </w:tc>
        <w:tc>
          <w:tcPr>
            <w:tcW w:w="920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NS</w:t>
            </w:r>
          </w:p>
        </w:tc>
      </w:tr>
      <w:tr w:rsidR="00DB4658" w:rsidRPr="009F4983" w:rsidTr="00737ACB">
        <w:tc>
          <w:tcPr>
            <w:cnfStyle w:val="001000000000"/>
            <w:tcW w:w="1364" w:type="pct"/>
          </w:tcPr>
          <w:p w:rsidR="00DB4658" w:rsidRPr="00C91065" w:rsidRDefault="00DB4658" w:rsidP="00B60BD1">
            <w:pPr>
              <w:spacing w:line="276" w:lineRule="auto"/>
              <w:rPr>
                <w:rFonts w:asciiTheme="minorBidi" w:hAnsiTheme="minorBidi"/>
                <w:color w:val="auto"/>
                <w:sz w:val="28"/>
                <w:szCs w:val="28"/>
                <w:u w:val="single"/>
              </w:rPr>
            </w:pPr>
            <w:r w:rsidRPr="00C91065">
              <w:rPr>
                <w:rFonts w:asciiTheme="minorBidi" w:hAnsiTheme="minorBidi"/>
                <w:color w:val="auto"/>
                <w:sz w:val="28"/>
                <w:szCs w:val="28"/>
                <w:u w:val="single"/>
              </w:rPr>
              <w:t>Aortic ratio</w:t>
            </w:r>
          </w:p>
        </w:tc>
        <w:tc>
          <w:tcPr>
            <w:tcW w:w="463" w:type="pct"/>
          </w:tcPr>
          <w:p w:rsidR="00DB4658" w:rsidRPr="009F4983" w:rsidRDefault="00DB4658" w:rsidP="00B60BD1">
            <w:pPr>
              <w:spacing w:line="276" w:lineRule="auto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  <w:tc>
          <w:tcPr>
            <w:tcW w:w="780" w:type="pct"/>
          </w:tcPr>
          <w:p w:rsidR="00DB4658" w:rsidRPr="009F4983" w:rsidRDefault="00DB4658" w:rsidP="00B60BD1">
            <w:pPr>
              <w:spacing w:line="276" w:lineRule="auto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  <w:tc>
          <w:tcPr>
            <w:tcW w:w="488" w:type="pct"/>
          </w:tcPr>
          <w:p w:rsidR="00DB4658" w:rsidRPr="009F4983" w:rsidRDefault="00DB4658" w:rsidP="00B60BD1">
            <w:pPr>
              <w:spacing w:line="276" w:lineRule="auto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  <w:tc>
          <w:tcPr>
            <w:tcW w:w="985" w:type="pct"/>
          </w:tcPr>
          <w:p w:rsidR="00DB4658" w:rsidRPr="009F4983" w:rsidRDefault="00DB4658" w:rsidP="00B60BD1">
            <w:pPr>
              <w:spacing w:line="276" w:lineRule="auto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  <w:tc>
          <w:tcPr>
            <w:tcW w:w="920" w:type="pct"/>
          </w:tcPr>
          <w:p w:rsidR="00DB4658" w:rsidRPr="009F4983" w:rsidRDefault="00DB4658" w:rsidP="00B60BD1">
            <w:pPr>
              <w:spacing w:line="276" w:lineRule="auto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</w:p>
        </w:tc>
      </w:tr>
      <w:tr w:rsidR="00DB4658" w:rsidRPr="009F4983" w:rsidTr="00737ACB">
        <w:trPr>
          <w:cnfStyle w:val="000000100000"/>
        </w:trPr>
        <w:tc>
          <w:tcPr>
            <w:cnfStyle w:val="001000000000"/>
            <w:tcW w:w="1364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ind w:left="288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&gt; 1.5</w:t>
            </w:r>
          </w:p>
        </w:tc>
        <w:tc>
          <w:tcPr>
            <w:tcW w:w="463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2</w:t>
            </w:r>
          </w:p>
        </w:tc>
        <w:tc>
          <w:tcPr>
            <w:tcW w:w="780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33.3</w:t>
            </w:r>
          </w:p>
        </w:tc>
        <w:tc>
          <w:tcPr>
            <w:tcW w:w="488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3</w:t>
            </w:r>
          </w:p>
        </w:tc>
        <w:tc>
          <w:tcPr>
            <w:tcW w:w="985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33.3</w:t>
            </w:r>
          </w:p>
        </w:tc>
        <w:tc>
          <w:tcPr>
            <w:tcW w:w="920" w:type="pct"/>
            <w:tcBorders>
              <w:left w:val="none" w:sz="0" w:space="0" w:color="auto"/>
              <w:right w:val="none" w:sz="0" w:space="0" w:color="auto"/>
            </w:tcBorders>
          </w:tcPr>
          <w:p w:rsidR="00DB4658" w:rsidRPr="009F4983" w:rsidRDefault="00DB4658" w:rsidP="00B60BD1">
            <w:pPr>
              <w:spacing w:line="276" w:lineRule="auto"/>
              <w:cnfStyle w:val="0000001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1.0</w:t>
            </w:r>
          </w:p>
        </w:tc>
      </w:tr>
      <w:tr w:rsidR="00DB4658" w:rsidRPr="009F4983" w:rsidTr="00737ACB">
        <w:tc>
          <w:tcPr>
            <w:cnfStyle w:val="001000000000"/>
            <w:tcW w:w="1364" w:type="pct"/>
          </w:tcPr>
          <w:p w:rsidR="00DB4658" w:rsidRPr="009F4983" w:rsidRDefault="00DB4658" w:rsidP="00B60BD1">
            <w:pPr>
              <w:spacing w:line="276" w:lineRule="auto"/>
              <w:ind w:left="288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&lt; 1.5</w:t>
            </w:r>
          </w:p>
        </w:tc>
        <w:tc>
          <w:tcPr>
            <w:tcW w:w="463" w:type="pct"/>
          </w:tcPr>
          <w:p w:rsidR="00DB4658" w:rsidRPr="009F4983" w:rsidRDefault="00DB4658" w:rsidP="00B60BD1">
            <w:pPr>
              <w:spacing w:line="276" w:lineRule="auto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4</w:t>
            </w:r>
          </w:p>
        </w:tc>
        <w:tc>
          <w:tcPr>
            <w:tcW w:w="780" w:type="pct"/>
          </w:tcPr>
          <w:p w:rsidR="00DB4658" w:rsidRPr="009F4983" w:rsidRDefault="00DB4658" w:rsidP="00B60BD1">
            <w:pPr>
              <w:spacing w:line="276" w:lineRule="auto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66.7</w:t>
            </w:r>
          </w:p>
        </w:tc>
        <w:tc>
          <w:tcPr>
            <w:tcW w:w="488" w:type="pct"/>
          </w:tcPr>
          <w:p w:rsidR="00DB4658" w:rsidRPr="009F4983" w:rsidRDefault="00DB4658" w:rsidP="00B60BD1">
            <w:pPr>
              <w:spacing w:line="276" w:lineRule="auto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6</w:t>
            </w:r>
          </w:p>
        </w:tc>
        <w:tc>
          <w:tcPr>
            <w:tcW w:w="985" w:type="pct"/>
          </w:tcPr>
          <w:p w:rsidR="00DB4658" w:rsidRPr="009F4983" w:rsidRDefault="00DB4658" w:rsidP="00B60BD1">
            <w:pPr>
              <w:spacing w:line="276" w:lineRule="auto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66.7</w:t>
            </w:r>
          </w:p>
        </w:tc>
        <w:tc>
          <w:tcPr>
            <w:tcW w:w="920" w:type="pct"/>
          </w:tcPr>
          <w:p w:rsidR="00DB4658" w:rsidRPr="009F4983" w:rsidRDefault="00DB4658" w:rsidP="00B60BD1">
            <w:pPr>
              <w:spacing w:line="276" w:lineRule="auto"/>
              <w:cnfStyle w:val="000000000000"/>
              <w:rPr>
                <w:rFonts w:asciiTheme="minorBidi" w:hAnsiTheme="minorBidi"/>
                <w:color w:val="auto"/>
                <w:sz w:val="28"/>
                <w:szCs w:val="28"/>
              </w:rPr>
            </w:pPr>
            <w:r w:rsidRPr="009F4983">
              <w:rPr>
                <w:rFonts w:asciiTheme="minorBidi" w:hAnsiTheme="minorBidi"/>
                <w:color w:val="auto"/>
                <w:sz w:val="28"/>
                <w:szCs w:val="28"/>
              </w:rPr>
              <w:t>NS</w:t>
            </w:r>
          </w:p>
        </w:tc>
      </w:tr>
    </w:tbl>
    <w:p w:rsidR="008F5286" w:rsidRPr="00EC54C0" w:rsidRDefault="008F5286" w:rsidP="00B60BD1">
      <w:pPr>
        <w:tabs>
          <w:tab w:val="left" w:pos="1473"/>
          <w:tab w:val="center" w:pos="4300"/>
        </w:tabs>
        <w:spacing w:line="276" w:lineRule="auto"/>
        <w:jc w:val="both"/>
        <w:rPr>
          <w:rFonts w:asciiTheme="minorBidi" w:hAnsiTheme="minorBidi"/>
          <w:sz w:val="28"/>
          <w:szCs w:val="28"/>
        </w:rPr>
      </w:pPr>
    </w:p>
    <w:sectPr w:rsidR="008F5286" w:rsidRPr="00EC54C0" w:rsidSect="00DD3C84">
      <w:headerReference w:type="default" r:id="rId19"/>
      <w:footerReference w:type="default" r:id="rId20"/>
      <w:pgSz w:w="12240" w:h="15840"/>
      <w:pgMar w:top="1531" w:right="1531" w:bottom="1531" w:left="1531" w:header="709" w:footer="709" w:gutter="0"/>
      <w:pgNumType w:start="5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086" w:rsidRDefault="00353086" w:rsidP="0072709B">
      <w:r>
        <w:separator/>
      </w:r>
    </w:p>
  </w:endnote>
  <w:endnote w:type="continuationSeparator" w:id="1">
    <w:p w:rsidR="00353086" w:rsidRDefault="00353086" w:rsidP="007270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3664"/>
      <w:docPartObj>
        <w:docPartGallery w:val="Page Numbers (Bottom of Page)"/>
        <w:docPartUnique/>
      </w:docPartObj>
    </w:sdtPr>
    <w:sdtContent>
      <w:p w:rsidR="00E5497B" w:rsidRDefault="00E5497B">
        <w:pPr>
          <w:pStyle w:val="Footer"/>
        </w:pPr>
        <w:r w:rsidRPr="00A670AA">
          <w:rPr>
            <w:b/>
            <w:bCs/>
          </w:rPr>
          <w:fldChar w:fldCharType="begin"/>
        </w:r>
        <w:r w:rsidRPr="00A670AA">
          <w:rPr>
            <w:b/>
            <w:bCs/>
          </w:rPr>
          <w:instrText xml:space="preserve"> PAGE   \* MERGEFORMAT </w:instrText>
        </w:r>
        <w:r w:rsidRPr="00A670AA">
          <w:rPr>
            <w:b/>
            <w:bCs/>
          </w:rPr>
          <w:fldChar w:fldCharType="separate"/>
        </w:r>
        <w:r w:rsidR="00D601C6">
          <w:rPr>
            <w:b/>
            <w:bCs/>
            <w:noProof/>
          </w:rPr>
          <w:t>71</w:t>
        </w:r>
        <w:r w:rsidRPr="00A670AA">
          <w:rPr>
            <w:b/>
            <w:bCs/>
          </w:rPr>
          <w:fldChar w:fldCharType="end"/>
        </w:r>
      </w:p>
    </w:sdtContent>
  </w:sdt>
  <w:p w:rsidR="00E5497B" w:rsidRDefault="00E549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086" w:rsidRDefault="00353086" w:rsidP="0072709B">
      <w:r>
        <w:separator/>
      </w:r>
    </w:p>
  </w:footnote>
  <w:footnote w:type="continuationSeparator" w:id="1">
    <w:p w:rsidR="00353086" w:rsidRDefault="00353086" w:rsidP="007270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1953663"/>
      <w:placeholder>
        <w:docPart w:val="FC43C219AB0B456793F17B226ABCA58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E5497B" w:rsidRDefault="00E5497B" w:rsidP="005A2A81">
        <w:pPr>
          <w:pStyle w:val="Header"/>
          <w:pBdr>
            <w:bottom w:val="thickThinSmallGap" w:sz="24" w:space="1" w:color="622423" w:themeColor="accent2" w:themeShade="7F"/>
          </w:pBdr>
          <w:jc w:val="right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Results</w:t>
        </w:r>
      </w:p>
    </w:sdtContent>
  </w:sdt>
  <w:p w:rsidR="00E5497B" w:rsidRPr="005A2A81" w:rsidRDefault="00E5497B">
    <w:pPr>
      <w:pStyle w:val="Header"/>
      <w:rPr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72061"/>
    <w:multiLevelType w:val="hybridMultilevel"/>
    <w:tmpl w:val="B7444912"/>
    <w:lvl w:ilvl="0" w:tplc="FB6E7882">
      <w:start w:val="1"/>
      <w:numFmt w:val="lowerLetter"/>
      <w:lvlText w:val="%1-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BE9136D"/>
    <w:multiLevelType w:val="hybridMultilevel"/>
    <w:tmpl w:val="591CD958"/>
    <w:lvl w:ilvl="0" w:tplc="2BBC405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C7392"/>
    <w:multiLevelType w:val="hybridMultilevel"/>
    <w:tmpl w:val="892A8782"/>
    <w:lvl w:ilvl="0" w:tplc="0E542F6C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409490D"/>
    <w:multiLevelType w:val="hybridMultilevel"/>
    <w:tmpl w:val="31088634"/>
    <w:lvl w:ilvl="0" w:tplc="0780F5D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F2944"/>
    <w:multiLevelType w:val="hybridMultilevel"/>
    <w:tmpl w:val="73D64F26"/>
    <w:lvl w:ilvl="0" w:tplc="C536306E">
      <w:start w:val="3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D5CE2"/>
    <w:multiLevelType w:val="hybridMultilevel"/>
    <w:tmpl w:val="6DFCCB48"/>
    <w:lvl w:ilvl="0" w:tplc="ACCA5C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A01F1A"/>
    <w:multiLevelType w:val="hybridMultilevel"/>
    <w:tmpl w:val="C1B60FA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9195640"/>
    <w:multiLevelType w:val="hybridMultilevel"/>
    <w:tmpl w:val="FEB03F16"/>
    <w:lvl w:ilvl="0" w:tplc="98128DCE">
      <w:start w:val="100"/>
      <w:numFmt w:val="upperRoman"/>
      <w:lvlText w:val="%1-"/>
      <w:lvlJc w:val="left"/>
      <w:pPr>
        <w:ind w:left="1080" w:hanging="720"/>
      </w:pPr>
      <w:rPr>
        <w:rFonts w:hint="default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D05453"/>
    <w:multiLevelType w:val="hybridMultilevel"/>
    <w:tmpl w:val="48FC5D48"/>
    <w:lvl w:ilvl="0" w:tplc="5B0AFD70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AFC0DC6"/>
    <w:multiLevelType w:val="hybridMultilevel"/>
    <w:tmpl w:val="E24AD7B4"/>
    <w:lvl w:ilvl="0" w:tplc="FA868B1A">
      <w:start w:val="1"/>
      <w:numFmt w:val="upperLetter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584205B"/>
    <w:multiLevelType w:val="hybridMultilevel"/>
    <w:tmpl w:val="32E27364"/>
    <w:lvl w:ilvl="0" w:tplc="664CCC5A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35A5CEB"/>
    <w:multiLevelType w:val="hybridMultilevel"/>
    <w:tmpl w:val="069006E4"/>
    <w:lvl w:ilvl="0" w:tplc="EFD0C026">
      <w:start w:val="1"/>
      <w:numFmt w:val="decimal"/>
      <w:lvlText w:val="%1-"/>
      <w:lvlJc w:val="left"/>
      <w:pPr>
        <w:ind w:left="100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2">
    <w:nsid w:val="545C13E4"/>
    <w:multiLevelType w:val="hybridMultilevel"/>
    <w:tmpl w:val="A18E5E62"/>
    <w:lvl w:ilvl="0" w:tplc="D1B49DF8">
      <w:start w:val="1"/>
      <w:numFmt w:val="upperLetter"/>
      <w:lvlText w:val="%1-"/>
      <w:lvlJc w:val="left"/>
      <w:pPr>
        <w:ind w:left="1002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22" w:hanging="360"/>
      </w:pPr>
    </w:lvl>
    <w:lvl w:ilvl="2" w:tplc="0409001B" w:tentative="1">
      <w:start w:val="1"/>
      <w:numFmt w:val="lowerRoman"/>
      <w:lvlText w:val="%3."/>
      <w:lvlJc w:val="right"/>
      <w:pPr>
        <w:ind w:left="2442" w:hanging="180"/>
      </w:pPr>
    </w:lvl>
    <w:lvl w:ilvl="3" w:tplc="0409000F" w:tentative="1">
      <w:start w:val="1"/>
      <w:numFmt w:val="decimal"/>
      <w:lvlText w:val="%4."/>
      <w:lvlJc w:val="left"/>
      <w:pPr>
        <w:ind w:left="3162" w:hanging="360"/>
      </w:pPr>
    </w:lvl>
    <w:lvl w:ilvl="4" w:tplc="04090019" w:tentative="1">
      <w:start w:val="1"/>
      <w:numFmt w:val="lowerLetter"/>
      <w:lvlText w:val="%5."/>
      <w:lvlJc w:val="left"/>
      <w:pPr>
        <w:ind w:left="3882" w:hanging="360"/>
      </w:pPr>
    </w:lvl>
    <w:lvl w:ilvl="5" w:tplc="0409001B" w:tentative="1">
      <w:start w:val="1"/>
      <w:numFmt w:val="lowerRoman"/>
      <w:lvlText w:val="%6."/>
      <w:lvlJc w:val="right"/>
      <w:pPr>
        <w:ind w:left="4602" w:hanging="180"/>
      </w:pPr>
    </w:lvl>
    <w:lvl w:ilvl="6" w:tplc="0409000F" w:tentative="1">
      <w:start w:val="1"/>
      <w:numFmt w:val="decimal"/>
      <w:lvlText w:val="%7."/>
      <w:lvlJc w:val="left"/>
      <w:pPr>
        <w:ind w:left="5322" w:hanging="360"/>
      </w:pPr>
    </w:lvl>
    <w:lvl w:ilvl="7" w:tplc="04090019" w:tentative="1">
      <w:start w:val="1"/>
      <w:numFmt w:val="lowerLetter"/>
      <w:lvlText w:val="%8."/>
      <w:lvlJc w:val="left"/>
      <w:pPr>
        <w:ind w:left="6042" w:hanging="360"/>
      </w:pPr>
    </w:lvl>
    <w:lvl w:ilvl="8" w:tplc="040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3">
    <w:nsid w:val="57B5081C"/>
    <w:multiLevelType w:val="hybridMultilevel"/>
    <w:tmpl w:val="C100D236"/>
    <w:lvl w:ilvl="0" w:tplc="D2B4EAF0">
      <w:start w:val="5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0742E"/>
    <w:multiLevelType w:val="hybridMultilevel"/>
    <w:tmpl w:val="FC644BD8"/>
    <w:lvl w:ilvl="0" w:tplc="1E54DB4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603144"/>
    <w:multiLevelType w:val="hybridMultilevel"/>
    <w:tmpl w:val="F98AD8A2"/>
    <w:lvl w:ilvl="0" w:tplc="D0E461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A4FD9"/>
    <w:multiLevelType w:val="hybridMultilevel"/>
    <w:tmpl w:val="0748C958"/>
    <w:lvl w:ilvl="0" w:tplc="DEA27BF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41053C"/>
    <w:multiLevelType w:val="hybridMultilevel"/>
    <w:tmpl w:val="7EA4BAD2"/>
    <w:lvl w:ilvl="0" w:tplc="3BFEF35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0"/>
  </w:num>
  <w:num w:numId="4">
    <w:abstractNumId w:val="1"/>
  </w:num>
  <w:num w:numId="5">
    <w:abstractNumId w:val="14"/>
  </w:num>
  <w:num w:numId="6">
    <w:abstractNumId w:val="5"/>
  </w:num>
  <w:num w:numId="7">
    <w:abstractNumId w:val="9"/>
  </w:num>
  <w:num w:numId="8">
    <w:abstractNumId w:val="8"/>
  </w:num>
  <w:num w:numId="9">
    <w:abstractNumId w:val="10"/>
  </w:num>
  <w:num w:numId="10">
    <w:abstractNumId w:val="12"/>
  </w:num>
  <w:num w:numId="11">
    <w:abstractNumId w:val="11"/>
  </w:num>
  <w:num w:numId="12">
    <w:abstractNumId w:val="2"/>
  </w:num>
  <w:num w:numId="13">
    <w:abstractNumId w:val="15"/>
  </w:num>
  <w:num w:numId="14">
    <w:abstractNumId w:val="16"/>
  </w:num>
  <w:num w:numId="15">
    <w:abstractNumId w:val="4"/>
  </w:num>
  <w:num w:numId="16">
    <w:abstractNumId w:val="7"/>
  </w:num>
  <w:num w:numId="17">
    <w:abstractNumId w:val="13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0865"/>
    <w:rsid w:val="00003C9E"/>
    <w:rsid w:val="0001192E"/>
    <w:rsid w:val="00012A54"/>
    <w:rsid w:val="00014091"/>
    <w:rsid w:val="00014972"/>
    <w:rsid w:val="00016FA7"/>
    <w:rsid w:val="0003074A"/>
    <w:rsid w:val="00036ECF"/>
    <w:rsid w:val="00041989"/>
    <w:rsid w:val="00043667"/>
    <w:rsid w:val="000469EB"/>
    <w:rsid w:val="00050DE4"/>
    <w:rsid w:val="00052AA7"/>
    <w:rsid w:val="0005737D"/>
    <w:rsid w:val="00057704"/>
    <w:rsid w:val="0006151F"/>
    <w:rsid w:val="0007169B"/>
    <w:rsid w:val="00073E58"/>
    <w:rsid w:val="00080B94"/>
    <w:rsid w:val="00083D3E"/>
    <w:rsid w:val="00085D49"/>
    <w:rsid w:val="000954ED"/>
    <w:rsid w:val="000A52A7"/>
    <w:rsid w:val="000B48BD"/>
    <w:rsid w:val="000C4F42"/>
    <w:rsid w:val="000C79C4"/>
    <w:rsid w:val="000D188D"/>
    <w:rsid w:val="000D437B"/>
    <w:rsid w:val="000E4585"/>
    <w:rsid w:val="000E6A39"/>
    <w:rsid w:val="000E728F"/>
    <w:rsid w:val="000F00B7"/>
    <w:rsid w:val="000F131A"/>
    <w:rsid w:val="000F25EB"/>
    <w:rsid w:val="000F6322"/>
    <w:rsid w:val="00101A08"/>
    <w:rsid w:val="00103D2B"/>
    <w:rsid w:val="00104899"/>
    <w:rsid w:val="0010725C"/>
    <w:rsid w:val="001114F1"/>
    <w:rsid w:val="00112F25"/>
    <w:rsid w:val="00115A4B"/>
    <w:rsid w:val="001202D9"/>
    <w:rsid w:val="00130FAF"/>
    <w:rsid w:val="00131EC3"/>
    <w:rsid w:val="00132801"/>
    <w:rsid w:val="0013791D"/>
    <w:rsid w:val="00142D47"/>
    <w:rsid w:val="00146FD4"/>
    <w:rsid w:val="00157385"/>
    <w:rsid w:val="00166776"/>
    <w:rsid w:val="001765A5"/>
    <w:rsid w:val="00192654"/>
    <w:rsid w:val="001A35D7"/>
    <w:rsid w:val="001A5FB5"/>
    <w:rsid w:val="001A6DDC"/>
    <w:rsid w:val="001B4E10"/>
    <w:rsid w:val="001B6518"/>
    <w:rsid w:val="001C05AA"/>
    <w:rsid w:val="001C0C13"/>
    <w:rsid w:val="001C3B66"/>
    <w:rsid w:val="001D5648"/>
    <w:rsid w:val="001E0388"/>
    <w:rsid w:val="001E5DA2"/>
    <w:rsid w:val="001E62A0"/>
    <w:rsid w:val="001E7CD1"/>
    <w:rsid w:val="001F3EDD"/>
    <w:rsid w:val="001F7159"/>
    <w:rsid w:val="002023E0"/>
    <w:rsid w:val="0020258B"/>
    <w:rsid w:val="00204796"/>
    <w:rsid w:val="00204F20"/>
    <w:rsid w:val="00205EE9"/>
    <w:rsid w:val="002067AF"/>
    <w:rsid w:val="002128AA"/>
    <w:rsid w:val="00213E73"/>
    <w:rsid w:val="00215C98"/>
    <w:rsid w:val="00216EC0"/>
    <w:rsid w:val="00217221"/>
    <w:rsid w:val="002212D0"/>
    <w:rsid w:val="00227534"/>
    <w:rsid w:val="002321FD"/>
    <w:rsid w:val="00234788"/>
    <w:rsid w:val="00234BBF"/>
    <w:rsid w:val="00237424"/>
    <w:rsid w:val="00245F07"/>
    <w:rsid w:val="00251AB2"/>
    <w:rsid w:val="00252E1D"/>
    <w:rsid w:val="002537DF"/>
    <w:rsid w:val="0025475C"/>
    <w:rsid w:val="00254DB6"/>
    <w:rsid w:val="00262E42"/>
    <w:rsid w:val="00263156"/>
    <w:rsid w:val="002646AE"/>
    <w:rsid w:val="0027188D"/>
    <w:rsid w:val="002773D2"/>
    <w:rsid w:val="00284F2D"/>
    <w:rsid w:val="002853A3"/>
    <w:rsid w:val="00291EDE"/>
    <w:rsid w:val="00294646"/>
    <w:rsid w:val="002A156D"/>
    <w:rsid w:val="002A262F"/>
    <w:rsid w:val="002B3FB7"/>
    <w:rsid w:val="002B44A4"/>
    <w:rsid w:val="002B657E"/>
    <w:rsid w:val="002B75D2"/>
    <w:rsid w:val="002C08EA"/>
    <w:rsid w:val="002C2C9A"/>
    <w:rsid w:val="002C3544"/>
    <w:rsid w:val="002C4B71"/>
    <w:rsid w:val="002C7C65"/>
    <w:rsid w:val="002E237E"/>
    <w:rsid w:val="002E56E2"/>
    <w:rsid w:val="002E7A6E"/>
    <w:rsid w:val="002F0F0A"/>
    <w:rsid w:val="00303DFF"/>
    <w:rsid w:val="00312D6D"/>
    <w:rsid w:val="00323FFA"/>
    <w:rsid w:val="00333FFB"/>
    <w:rsid w:val="00345846"/>
    <w:rsid w:val="003525E9"/>
    <w:rsid w:val="00353086"/>
    <w:rsid w:val="00362A0C"/>
    <w:rsid w:val="00372221"/>
    <w:rsid w:val="003738C4"/>
    <w:rsid w:val="00380576"/>
    <w:rsid w:val="00380584"/>
    <w:rsid w:val="003839C7"/>
    <w:rsid w:val="00391226"/>
    <w:rsid w:val="00391F9B"/>
    <w:rsid w:val="00392D27"/>
    <w:rsid w:val="00393775"/>
    <w:rsid w:val="00393FD2"/>
    <w:rsid w:val="0039404A"/>
    <w:rsid w:val="00395B01"/>
    <w:rsid w:val="003A08B3"/>
    <w:rsid w:val="003A495D"/>
    <w:rsid w:val="003A57EC"/>
    <w:rsid w:val="003B05C3"/>
    <w:rsid w:val="003C2827"/>
    <w:rsid w:val="003D3136"/>
    <w:rsid w:val="003D38C1"/>
    <w:rsid w:val="003E4B3F"/>
    <w:rsid w:val="003E5BCA"/>
    <w:rsid w:val="003E6C14"/>
    <w:rsid w:val="003F11DC"/>
    <w:rsid w:val="003F1259"/>
    <w:rsid w:val="003F4218"/>
    <w:rsid w:val="003F70DB"/>
    <w:rsid w:val="004056F5"/>
    <w:rsid w:val="00421469"/>
    <w:rsid w:val="0042329A"/>
    <w:rsid w:val="00436715"/>
    <w:rsid w:val="00447161"/>
    <w:rsid w:val="00453DA2"/>
    <w:rsid w:val="00456876"/>
    <w:rsid w:val="00457AD9"/>
    <w:rsid w:val="00461AEF"/>
    <w:rsid w:val="00461DFB"/>
    <w:rsid w:val="004629F7"/>
    <w:rsid w:val="00464485"/>
    <w:rsid w:val="00465A37"/>
    <w:rsid w:val="00467D93"/>
    <w:rsid w:val="00480FFE"/>
    <w:rsid w:val="004811D0"/>
    <w:rsid w:val="00482596"/>
    <w:rsid w:val="00486533"/>
    <w:rsid w:val="0049382E"/>
    <w:rsid w:val="0049646F"/>
    <w:rsid w:val="004A3212"/>
    <w:rsid w:val="004A730D"/>
    <w:rsid w:val="004B0432"/>
    <w:rsid w:val="004B1166"/>
    <w:rsid w:val="004B1531"/>
    <w:rsid w:val="004B5245"/>
    <w:rsid w:val="004B7BBF"/>
    <w:rsid w:val="004C5A1F"/>
    <w:rsid w:val="004C6B2D"/>
    <w:rsid w:val="004D1D7A"/>
    <w:rsid w:val="004D5209"/>
    <w:rsid w:val="004D56BA"/>
    <w:rsid w:val="004D5A01"/>
    <w:rsid w:val="004E2A36"/>
    <w:rsid w:val="004E2BB8"/>
    <w:rsid w:val="004E4286"/>
    <w:rsid w:val="004E512B"/>
    <w:rsid w:val="004E59F0"/>
    <w:rsid w:val="004E6174"/>
    <w:rsid w:val="004E6D96"/>
    <w:rsid w:val="004F17D7"/>
    <w:rsid w:val="004F2D6A"/>
    <w:rsid w:val="004F519C"/>
    <w:rsid w:val="0050795F"/>
    <w:rsid w:val="00515687"/>
    <w:rsid w:val="005164B4"/>
    <w:rsid w:val="00524A49"/>
    <w:rsid w:val="00525C9D"/>
    <w:rsid w:val="00532CBA"/>
    <w:rsid w:val="00533170"/>
    <w:rsid w:val="00535157"/>
    <w:rsid w:val="00537131"/>
    <w:rsid w:val="00542549"/>
    <w:rsid w:val="0054610E"/>
    <w:rsid w:val="00546711"/>
    <w:rsid w:val="00552428"/>
    <w:rsid w:val="00555BBD"/>
    <w:rsid w:val="00555C04"/>
    <w:rsid w:val="00555DE7"/>
    <w:rsid w:val="005618C4"/>
    <w:rsid w:val="00574449"/>
    <w:rsid w:val="00574D4D"/>
    <w:rsid w:val="005774AC"/>
    <w:rsid w:val="00581A14"/>
    <w:rsid w:val="0058443D"/>
    <w:rsid w:val="00584ED8"/>
    <w:rsid w:val="0058502F"/>
    <w:rsid w:val="00585676"/>
    <w:rsid w:val="00590819"/>
    <w:rsid w:val="00593BBA"/>
    <w:rsid w:val="005944F0"/>
    <w:rsid w:val="005A12DA"/>
    <w:rsid w:val="005A253D"/>
    <w:rsid w:val="005A28B3"/>
    <w:rsid w:val="005A2A81"/>
    <w:rsid w:val="005B39E5"/>
    <w:rsid w:val="005B588E"/>
    <w:rsid w:val="005B60D7"/>
    <w:rsid w:val="005C4958"/>
    <w:rsid w:val="005C66E7"/>
    <w:rsid w:val="005C6D7D"/>
    <w:rsid w:val="005E6A70"/>
    <w:rsid w:val="005F1AA1"/>
    <w:rsid w:val="00601828"/>
    <w:rsid w:val="00605ED0"/>
    <w:rsid w:val="00612CDA"/>
    <w:rsid w:val="006165DE"/>
    <w:rsid w:val="00617B58"/>
    <w:rsid w:val="006247C0"/>
    <w:rsid w:val="00626EB3"/>
    <w:rsid w:val="00627DD4"/>
    <w:rsid w:val="006316CD"/>
    <w:rsid w:val="006318EC"/>
    <w:rsid w:val="00636F19"/>
    <w:rsid w:val="00641D6C"/>
    <w:rsid w:val="00645BE5"/>
    <w:rsid w:val="00651085"/>
    <w:rsid w:val="006524F3"/>
    <w:rsid w:val="00654639"/>
    <w:rsid w:val="00657073"/>
    <w:rsid w:val="00662FFF"/>
    <w:rsid w:val="00664240"/>
    <w:rsid w:val="0066457C"/>
    <w:rsid w:val="00665392"/>
    <w:rsid w:val="00665FB0"/>
    <w:rsid w:val="006722A8"/>
    <w:rsid w:val="00673A08"/>
    <w:rsid w:val="006763EA"/>
    <w:rsid w:val="006804C9"/>
    <w:rsid w:val="00682023"/>
    <w:rsid w:val="00696FA3"/>
    <w:rsid w:val="006A6FF8"/>
    <w:rsid w:val="006B0932"/>
    <w:rsid w:val="006B28D9"/>
    <w:rsid w:val="006B4829"/>
    <w:rsid w:val="006C0096"/>
    <w:rsid w:val="006C0FB4"/>
    <w:rsid w:val="006C1E12"/>
    <w:rsid w:val="006C546D"/>
    <w:rsid w:val="006C54F8"/>
    <w:rsid w:val="006D107C"/>
    <w:rsid w:val="006E57FB"/>
    <w:rsid w:val="006F1C61"/>
    <w:rsid w:val="006F67DD"/>
    <w:rsid w:val="00701D8C"/>
    <w:rsid w:val="007028DE"/>
    <w:rsid w:val="00706097"/>
    <w:rsid w:val="0071588D"/>
    <w:rsid w:val="00717C73"/>
    <w:rsid w:val="00726FAF"/>
    <w:rsid w:val="0072709B"/>
    <w:rsid w:val="0073078A"/>
    <w:rsid w:val="00736D76"/>
    <w:rsid w:val="00737ACB"/>
    <w:rsid w:val="00745C50"/>
    <w:rsid w:val="00751F89"/>
    <w:rsid w:val="00753550"/>
    <w:rsid w:val="007554AF"/>
    <w:rsid w:val="00757DB3"/>
    <w:rsid w:val="00777172"/>
    <w:rsid w:val="0078014C"/>
    <w:rsid w:val="00781707"/>
    <w:rsid w:val="00787BE3"/>
    <w:rsid w:val="0079049E"/>
    <w:rsid w:val="00791976"/>
    <w:rsid w:val="007928D4"/>
    <w:rsid w:val="00793A7A"/>
    <w:rsid w:val="007A68AB"/>
    <w:rsid w:val="007C3224"/>
    <w:rsid w:val="007C3391"/>
    <w:rsid w:val="007C4EF2"/>
    <w:rsid w:val="007D0DEB"/>
    <w:rsid w:val="007D2517"/>
    <w:rsid w:val="007D361C"/>
    <w:rsid w:val="007D46D7"/>
    <w:rsid w:val="007D6925"/>
    <w:rsid w:val="007D72A1"/>
    <w:rsid w:val="007D7437"/>
    <w:rsid w:val="007D7C69"/>
    <w:rsid w:val="007D7E99"/>
    <w:rsid w:val="007E580C"/>
    <w:rsid w:val="007F2DD9"/>
    <w:rsid w:val="00802A63"/>
    <w:rsid w:val="00805AFF"/>
    <w:rsid w:val="0080721D"/>
    <w:rsid w:val="00807410"/>
    <w:rsid w:val="00811FBA"/>
    <w:rsid w:val="00813754"/>
    <w:rsid w:val="00814035"/>
    <w:rsid w:val="00814730"/>
    <w:rsid w:val="00815D67"/>
    <w:rsid w:val="00815DDA"/>
    <w:rsid w:val="008378D8"/>
    <w:rsid w:val="00837EC5"/>
    <w:rsid w:val="00840A84"/>
    <w:rsid w:val="00847F09"/>
    <w:rsid w:val="008507F6"/>
    <w:rsid w:val="00851248"/>
    <w:rsid w:val="00852087"/>
    <w:rsid w:val="00854E19"/>
    <w:rsid w:val="00855CFD"/>
    <w:rsid w:val="0086106F"/>
    <w:rsid w:val="00866F81"/>
    <w:rsid w:val="008708D9"/>
    <w:rsid w:val="00871002"/>
    <w:rsid w:val="008736D8"/>
    <w:rsid w:val="0087431D"/>
    <w:rsid w:val="0088045F"/>
    <w:rsid w:val="00884D61"/>
    <w:rsid w:val="00893312"/>
    <w:rsid w:val="0089370D"/>
    <w:rsid w:val="008955DD"/>
    <w:rsid w:val="008A019B"/>
    <w:rsid w:val="008A2E5B"/>
    <w:rsid w:val="008A4249"/>
    <w:rsid w:val="008A71E3"/>
    <w:rsid w:val="008B223E"/>
    <w:rsid w:val="008B38FA"/>
    <w:rsid w:val="008B4798"/>
    <w:rsid w:val="008C041A"/>
    <w:rsid w:val="008C09C0"/>
    <w:rsid w:val="008D0B03"/>
    <w:rsid w:val="008D356A"/>
    <w:rsid w:val="008E099C"/>
    <w:rsid w:val="008E21B5"/>
    <w:rsid w:val="008E6FDF"/>
    <w:rsid w:val="008F0509"/>
    <w:rsid w:val="008F34C0"/>
    <w:rsid w:val="008F3931"/>
    <w:rsid w:val="008F5286"/>
    <w:rsid w:val="008F5333"/>
    <w:rsid w:val="008F5C81"/>
    <w:rsid w:val="008F74C3"/>
    <w:rsid w:val="00901523"/>
    <w:rsid w:val="00902DE1"/>
    <w:rsid w:val="009045B8"/>
    <w:rsid w:val="00911FF7"/>
    <w:rsid w:val="00912DA1"/>
    <w:rsid w:val="009143C2"/>
    <w:rsid w:val="00914F5F"/>
    <w:rsid w:val="00924A41"/>
    <w:rsid w:val="00934799"/>
    <w:rsid w:val="00943FA0"/>
    <w:rsid w:val="009470EC"/>
    <w:rsid w:val="009512CD"/>
    <w:rsid w:val="00951E91"/>
    <w:rsid w:val="009544FC"/>
    <w:rsid w:val="009601FB"/>
    <w:rsid w:val="00960A66"/>
    <w:rsid w:val="009648CA"/>
    <w:rsid w:val="00964B8C"/>
    <w:rsid w:val="00966D54"/>
    <w:rsid w:val="009825E9"/>
    <w:rsid w:val="009843C5"/>
    <w:rsid w:val="00991449"/>
    <w:rsid w:val="009950B5"/>
    <w:rsid w:val="009956FC"/>
    <w:rsid w:val="009B073C"/>
    <w:rsid w:val="009B19AB"/>
    <w:rsid w:val="009B19B7"/>
    <w:rsid w:val="009B2C8E"/>
    <w:rsid w:val="009B64CD"/>
    <w:rsid w:val="009B65C9"/>
    <w:rsid w:val="009C00A3"/>
    <w:rsid w:val="009C48F9"/>
    <w:rsid w:val="009C52BC"/>
    <w:rsid w:val="009C5683"/>
    <w:rsid w:val="009C57B4"/>
    <w:rsid w:val="009C6B1F"/>
    <w:rsid w:val="009D2366"/>
    <w:rsid w:val="009E13D3"/>
    <w:rsid w:val="009E3922"/>
    <w:rsid w:val="009E5075"/>
    <w:rsid w:val="009E60A0"/>
    <w:rsid w:val="009F02A4"/>
    <w:rsid w:val="009F4983"/>
    <w:rsid w:val="00A00330"/>
    <w:rsid w:val="00A015FE"/>
    <w:rsid w:val="00A018F3"/>
    <w:rsid w:val="00A02C64"/>
    <w:rsid w:val="00A05865"/>
    <w:rsid w:val="00A07768"/>
    <w:rsid w:val="00A10304"/>
    <w:rsid w:val="00A10BB8"/>
    <w:rsid w:val="00A169F8"/>
    <w:rsid w:val="00A16B6B"/>
    <w:rsid w:val="00A20B10"/>
    <w:rsid w:val="00A212A3"/>
    <w:rsid w:val="00A276B0"/>
    <w:rsid w:val="00A3188A"/>
    <w:rsid w:val="00A32AB0"/>
    <w:rsid w:val="00A32CE5"/>
    <w:rsid w:val="00A330EB"/>
    <w:rsid w:val="00A33CCF"/>
    <w:rsid w:val="00A36484"/>
    <w:rsid w:val="00A40624"/>
    <w:rsid w:val="00A44083"/>
    <w:rsid w:val="00A44BD4"/>
    <w:rsid w:val="00A47FBB"/>
    <w:rsid w:val="00A53687"/>
    <w:rsid w:val="00A5380F"/>
    <w:rsid w:val="00A54F5B"/>
    <w:rsid w:val="00A55263"/>
    <w:rsid w:val="00A612E8"/>
    <w:rsid w:val="00A62A84"/>
    <w:rsid w:val="00A670AA"/>
    <w:rsid w:val="00A74716"/>
    <w:rsid w:val="00A75F42"/>
    <w:rsid w:val="00A76C10"/>
    <w:rsid w:val="00A80753"/>
    <w:rsid w:val="00A94D8D"/>
    <w:rsid w:val="00A963F5"/>
    <w:rsid w:val="00A978C2"/>
    <w:rsid w:val="00AA00AB"/>
    <w:rsid w:val="00AA18FE"/>
    <w:rsid w:val="00AA646A"/>
    <w:rsid w:val="00AB443E"/>
    <w:rsid w:val="00AC0353"/>
    <w:rsid w:val="00AC08C0"/>
    <w:rsid w:val="00AC11B5"/>
    <w:rsid w:val="00AC4CA6"/>
    <w:rsid w:val="00AD14C0"/>
    <w:rsid w:val="00AD5305"/>
    <w:rsid w:val="00AE15F4"/>
    <w:rsid w:val="00AE40C8"/>
    <w:rsid w:val="00AF4085"/>
    <w:rsid w:val="00AF5003"/>
    <w:rsid w:val="00AF742F"/>
    <w:rsid w:val="00B06B07"/>
    <w:rsid w:val="00B073A2"/>
    <w:rsid w:val="00B10196"/>
    <w:rsid w:val="00B10D93"/>
    <w:rsid w:val="00B11C3C"/>
    <w:rsid w:val="00B11D85"/>
    <w:rsid w:val="00B142FD"/>
    <w:rsid w:val="00B1471E"/>
    <w:rsid w:val="00B147BA"/>
    <w:rsid w:val="00B227DD"/>
    <w:rsid w:val="00B34ECE"/>
    <w:rsid w:val="00B36BDF"/>
    <w:rsid w:val="00B37677"/>
    <w:rsid w:val="00B3784B"/>
    <w:rsid w:val="00B45DF9"/>
    <w:rsid w:val="00B47DDE"/>
    <w:rsid w:val="00B53C20"/>
    <w:rsid w:val="00B56066"/>
    <w:rsid w:val="00B60BD1"/>
    <w:rsid w:val="00B61C54"/>
    <w:rsid w:val="00B65D9B"/>
    <w:rsid w:val="00B661B8"/>
    <w:rsid w:val="00B712AA"/>
    <w:rsid w:val="00B8040A"/>
    <w:rsid w:val="00B83C2A"/>
    <w:rsid w:val="00B90391"/>
    <w:rsid w:val="00B9129E"/>
    <w:rsid w:val="00B9473B"/>
    <w:rsid w:val="00BA13C0"/>
    <w:rsid w:val="00BA298B"/>
    <w:rsid w:val="00BA344A"/>
    <w:rsid w:val="00BB1B08"/>
    <w:rsid w:val="00BB5D03"/>
    <w:rsid w:val="00BC2DBA"/>
    <w:rsid w:val="00BC4389"/>
    <w:rsid w:val="00BD1A1E"/>
    <w:rsid w:val="00BD1F5D"/>
    <w:rsid w:val="00BE068E"/>
    <w:rsid w:val="00BE1902"/>
    <w:rsid w:val="00BE3660"/>
    <w:rsid w:val="00BE3C0B"/>
    <w:rsid w:val="00BE4384"/>
    <w:rsid w:val="00BF051B"/>
    <w:rsid w:val="00BF444C"/>
    <w:rsid w:val="00BF4BC7"/>
    <w:rsid w:val="00C02E0C"/>
    <w:rsid w:val="00C07D55"/>
    <w:rsid w:val="00C17FC5"/>
    <w:rsid w:val="00C2128B"/>
    <w:rsid w:val="00C263F5"/>
    <w:rsid w:val="00C31365"/>
    <w:rsid w:val="00C34BC9"/>
    <w:rsid w:val="00C34FD1"/>
    <w:rsid w:val="00C44DD4"/>
    <w:rsid w:val="00C538E7"/>
    <w:rsid w:val="00C55528"/>
    <w:rsid w:val="00C55D6F"/>
    <w:rsid w:val="00C615D6"/>
    <w:rsid w:val="00C62DEA"/>
    <w:rsid w:val="00C6600F"/>
    <w:rsid w:val="00C67C5E"/>
    <w:rsid w:val="00C70E16"/>
    <w:rsid w:val="00C74D83"/>
    <w:rsid w:val="00C80BFA"/>
    <w:rsid w:val="00C869A0"/>
    <w:rsid w:val="00C91065"/>
    <w:rsid w:val="00CA4EE0"/>
    <w:rsid w:val="00CA52BD"/>
    <w:rsid w:val="00CB550D"/>
    <w:rsid w:val="00CB6512"/>
    <w:rsid w:val="00CB79BF"/>
    <w:rsid w:val="00CB7E6E"/>
    <w:rsid w:val="00CC0865"/>
    <w:rsid w:val="00CC190F"/>
    <w:rsid w:val="00CC2825"/>
    <w:rsid w:val="00CD55AB"/>
    <w:rsid w:val="00CE4A18"/>
    <w:rsid w:val="00CE7F30"/>
    <w:rsid w:val="00CF4B9C"/>
    <w:rsid w:val="00D04B67"/>
    <w:rsid w:val="00D105C2"/>
    <w:rsid w:val="00D10703"/>
    <w:rsid w:val="00D17192"/>
    <w:rsid w:val="00D21401"/>
    <w:rsid w:val="00D22717"/>
    <w:rsid w:val="00D25FA6"/>
    <w:rsid w:val="00D26420"/>
    <w:rsid w:val="00D311E4"/>
    <w:rsid w:val="00D31929"/>
    <w:rsid w:val="00D3244E"/>
    <w:rsid w:val="00D40A53"/>
    <w:rsid w:val="00D437C0"/>
    <w:rsid w:val="00D506D2"/>
    <w:rsid w:val="00D525FC"/>
    <w:rsid w:val="00D54410"/>
    <w:rsid w:val="00D601C6"/>
    <w:rsid w:val="00D610B0"/>
    <w:rsid w:val="00D6142E"/>
    <w:rsid w:val="00D6385B"/>
    <w:rsid w:val="00D76859"/>
    <w:rsid w:val="00D77E56"/>
    <w:rsid w:val="00D82D10"/>
    <w:rsid w:val="00D83786"/>
    <w:rsid w:val="00D97CB1"/>
    <w:rsid w:val="00DA1F9D"/>
    <w:rsid w:val="00DA302C"/>
    <w:rsid w:val="00DA4751"/>
    <w:rsid w:val="00DA4C41"/>
    <w:rsid w:val="00DA6268"/>
    <w:rsid w:val="00DA6D25"/>
    <w:rsid w:val="00DA7833"/>
    <w:rsid w:val="00DB4658"/>
    <w:rsid w:val="00DC23D1"/>
    <w:rsid w:val="00DD3629"/>
    <w:rsid w:val="00DD3C84"/>
    <w:rsid w:val="00DD4552"/>
    <w:rsid w:val="00DE0779"/>
    <w:rsid w:val="00DE7D91"/>
    <w:rsid w:val="00DF1B69"/>
    <w:rsid w:val="00DF3D64"/>
    <w:rsid w:val="00E02932"/>
    <w:rsid w:val="00E069D0"/>
    <w:rsid w:val="00E13436"/>
    <w:rsid w:val="00E21EB8"/>
    <w:rsid w:val="00E43114"/>
    <w:rsid w:val="00E53BAE"/>
    <w:rsid w:val="00E5497B"/>
    <w:rsid w:val="00E57743"/>
    <w:rsid w:val="00E61AE8"/>
    <w:rsid w:val="00E61E9D"/>
    <w:rsid w:val="00E76F16"/>
    <w:rsid w:val="00E812AD"/>
    <w:rsid w:val="00E84E21"/>
    <w:rsid w:val="00E86608"/>
    <w:rsid w:val="00E866DD"/>
    <w:rsid w:val="00E9339B"/>
    <w:rsid w:val="00E97009"/>
    <w:rsid w:val="00EA0A61"/>
    <w:rsid w:val="00EA4777"/>
    <w:rsid w:val="00EA5504"/>
    <w:rsid w:val="00EA6AAA"/>
    <w:rsid w:val="00EB04D7"/>
    <w:rsid w:val="00EB1DB1"/>
    <w:rsid w:val="00EB5A90"/>
    <w:rsid w:val="00EC0266"/>
    <w:rsid w:val="00EC387B"/>
    <w:rsid w:val="00EC42E2"/>
    <w:rsid w:val="00EC4A1E"/>
    <w:rsid w:val="00EC5418"/>
    <w:rsid w:val="00EC54C0"/>
    <w:rsid w:val="00EC5BD3"/>
    <w:rsid w:val="00EC6B9B"/>
    <w:rsid w:val="00ED15E0"/>
    <w:rsid w:val="00ED474B"/>
    <w:rsid w:val="00ED5151"/>
    <w:rsid w:val="00ED6A72"/>
    <w:rsid w:val="00EE268D"/>
    <w:rsid w:val="00EE699F"/>
    <w:rsid w:val="00EF29F3"/>
    <w:rsid w:val="00EF5048"/>
    <w:rsid w:val="00EF66EA"/>
    <w:rsid w:val="00EF7F76"/>
    <w:rsid w:val="00F05AB9"/>
    <w:rsid w:val="00F10910"/>
    <w:rsid w:val="00F10A44"/>
    <w:rsid w:val="00F11C1B"/>
    <w:rsid w:val="00F15F59"/>
    <w:rsid w:val="00F17DD9"/>
    <w:rsid w:val="00F26EBD"/>
    <w:rsid w:val="00F446A2"/>
    <w:rsid w:val="00F4491E"/>
    <w:rsid w:val="00F612E3"/>
    <w:rsid w:val="00F62C15"/>
    <w:rsid w:val="00F82D55"/>
    <w:rsid w:val="00F867F2"/>
    <w:rsid w:val="00F933A9"/>
    <w:rsid w:val="00F94D09"/>
    <w:rsid w:val="00F9732B"/>
    <w:rsid w:val="00FA1C25"/>
    <w:rsid w:val="00FA4684"/>
    <w:rsid w:val="00FA72D7"/>
    <w:rsid w:val="00FB3CFD"/>
    <w:rsid w:val="00FB6B01"/>
    <w:rsid w:val="00FB7144"/>
    <w:rsid w:val="00FC126A"/>
    <w:rsid w:val="00FC160F"/>
    <w:rsid w:val="00FC2CE3"/>
    <w:rsid w:val="00FD1C45"/>
    <w:rsid w:val="00FD1D4D"/>
    <w:rsid w:val="00FE239C"/>
    <w:rsid w:val="00FE3039"/>
    <w:rsid w:val="00FE39FC"/>
    <w:rsid w:val="00FE6D25"/>
    <w:rsid w:val="00FE76D4"/>
    <w:rsid w:val="00FF0BBE"/>
    <w:rsid w:val="00FF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4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08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8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70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709B"/>
  </w:style>
  <w:style w:type="paragraph" w:styleId="Footer">
    <w:name w:val="footer"/>
    <w:basedOn w:val="Normal"/>
    <w:link w:val="FooterChar"/>
    <w:uiPriority w:val="99"/>
    <w:unhideWhenUsed/>
    <w:rsid w:val="007270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709B"/>
  </w:style>
  <w:style w:type="paragraph" w:styleId="ListParagraph">
    <w:name w:val="List Paragraph"/>
    <w:basedOn w:val="Normal"/>
    <w:uiPriority w:val="34"/>
    <w:qFormat/>
    <w:rsid w:val="004B7BBF"/>
    <w:pPr>
      <w:ind w:left="720"/>
      <w:contextualSpacing/>
    </w:pPr>
  </w:style>
  <w:style w:type="table" w:styleId="TableGrid">
    <w:name w:val="Table Grid"/>
    <w:basedOn w:val="TableNormal"/>
    <w:uiPriority w:val="59"/>
    <w:rsid w:val="00447161"/>
    <w:pPr>
      <w:ind w:right="0"/>
      <w:jc w:val="left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8A2E5B"/>
    <w:rPr>
      <w:color w:val="0000FF"/>
      <w:u w:val="single"/>
    </w:rPr>
  </w:style>
  <w:style w:type="table" w:styleId="LightShading-Accent2">
    <w:name w:val="Light Shading Accent 2"/>
    <w:basedOn w:val="TableNormal"/>
    <w:uiPriority w:val="60"/>
    <w:rsid w:val="00535157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6C54F8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1">
    <w:name w:val="Light Shading Accent 1"/>
    <w:basedOn w:val="TableNormal"/>
    <w:uiPriority w:val="60"/>
    <w:rsid w:val="00884D61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theme" Target="theme/theme1.xml"/><Relationship Id="rId10" Type="http://schemas.openxmlformats.org/officeDocument/2006/relationships/chart" Target="charts/chart4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0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r.%20Mohammed%20Mustafa\Desktop\Dr.%20M.%20Samir%20Pediatrics\spreadsheat%20T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title>
      <c:tx>
        <c:rich>
          <a:bodyPr/>
          <a:lstStyle/>
          <a:p>
            <a:pPr>
              <a:defRPr/>
            </a:pPr>
            <a:r>
              <a:rPr lang="en-US" dirty="0" err="1">
                <a:solidFill>
                  <a:srgbClr val="FF0000"/>
                </a:solidFill>
              </a:rPr>
              <a:t>Consanguinous</a:t>
            </a:r>
            <a:r>
              <a:rPr lang="en-US" baseline="0" dirty="0">
                <a:solidFill>
                  <a:srgbClr val="FF0000"/>
                </a:solidFill>
              </a:rPr>
              <a:t> marriage</a:t>
            </a:r>
            <a:endParaRPr lang="en-US" dirty="0">
              <a:solidFill>
                <a:srgbClr val="FF0000"/>
              </a:solidFill>
            </a:endParaRP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HRT</c:v>
                </c:pt>
              </c:strCache>
            </c:strRef>
          </c:tx>
          <c:dLbls>
            <c:txPr>
              <a:bodyPr/>
              <a:lstStyle/>
              <a:p>
                <a:pPr>
                  <a:defRPr sz="2000"/>
                </a:pPr>
                <a:endParaRPr lang="en-US"/>
              </a:p>
            </c:txPr>
            <c:showPercent val="1"/>
          </c:dLbls>
          <c:cat>
            <c:strRef>
              <c:f>Sheet1!$A$2:$A$5</c:f>
              <c:strCache>
                <c:ptCount val="3"/>
                <c:pt idx="0">
                  <c:v>HRT</c:v>
                </c:pt>
                <c:pt idx="1">
                  <c:v>Yes</c:v>
                </c:pt>
                <c:pt idx="2">
                  <c:v>No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1">
                  <c:v>33.300000000000004</c:v>
                </c:pt>
                <c:pt idx="2">
                  <c:v>66.7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  <c:legendEntry>
        <c:idx val="0"/>
        <c:delete val="1"/>
      </c:legendEntry>
      <c:legendEntry>
        <c:idx val="3"/>
        <c:delete val="1"/>
      </c:legendEntry>
    </c:legend>
    <c:plotVisOnly val="1"/>
  </c:chart>
  <c:txPr>
    <a:bodyPr/>
    <a:lstStyle/>
    <a:p>
      <a:pPr>
        <a:defRPr sz="2400" b="1"/>
      </a:pPr>
      <a:endParaRPr lang="en-US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title>
      <c:tx>
        <c:rich>
          <a:bodyPr/>
          <a:lstStyle/>
          <a:p>
            <a:pPr>
              <a:defRPr/>
            </a:pPr>
            <a:r>
              <a:rPr lang="en-US" b="1" dirty="0">
                <a:solidFill>
                  <a:srgbClr val="FF0000"/>
                </a:solidFill>
                <a:latin typeface="Arial" pitchFamily="34" charset="0"/>
                <a:cs typeface="Arial" pitchFamily="34" charset="0"/>
              </a:rPr>
              <a:t>ASI interpretation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800" b="0"/>
                      <a:t>6.7%</a:t>
                    </a:r>
                  </a:p>
                </c:rich>
              </c:tx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800" b="0"/>
                      <a:t>20%</a:t>
                    </a:r>
                  </a:p>
                </c:rich>
              </c:tx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800" b="0"/>
                      <a:t>73.3%</a:t>
                    </a:r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 sz="1800" b="0"/>
                </a:pPr>
                <a:endParaRPr lang="en-US"/>
              </a:p>
            </c:txPr>
            <c:showPercent val="1"/>
          </c:dLbls>
          <c:cat>
            <c:strRef>
              <c:f>Sheet1!$A$3:$A$5</c:f>
              <c:strCache>
                <c:ptCount val="3"/>
                <c:pt idx="0">
                  <c:v>A:Evaluated for intervention (≥2.5 cm/m2)</c:v>
                </c:pt>
                <c:pt idx="1">
                  <c:v>B:Close follow up (≥1.8cm/m2)</c:v>
                </c:pt>
                <c:pt idx="2">
                  <c:v>C:Less than 1.8m2</c:v>
                </c:pt>
              </c:strCache>
            </c:strRef>
          </c:cat>
          <c:val>
            <c:numRef>
              <c:f>Sheet1!$B$3:$B$5</c:f>
              <c:numCache>
                <c:formatCode>General</c:formatCode>
                <c:ptCount val="3"/>
                <c:pt idx="0">
                  <c:v>6.7</c:v>
                </c:pt>
                <c:pt idx="1">
                  <c:v>20</c:v>
                </c:pt>
                <c:pt idx="2">
                  <c:v>73.3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61762876378690901"/>
          <c:y val="0.25428883854964524"/>
          <c:w val="0.36869982551906982"/>
          <c:h val="0.59654045432528835"/>
        </c:manualLayout>
      </c:layout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en-US"/>
        </a:p>
      </c:txPr>
    </c:legend>
    <c:plotVisOnly val="1"/>
  </c:chart>
  <c:txPr>
    <a:bodyPr/>
    <a:lstStyle/>
    <a:p>
      <a:pPr>
        <a:defRPr sz="1800"/>
      </a:pPr>
      <a:endParaRPr lang="en-US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title>
      <c:tx>
        <c:rich>
          <a:bodyPr/>
          <a:lstStyle/>
          <a:p>
            <a:pPr>
              <a:defRPr/>
            </a:pPr>
            <a:r>
              <a:rPr lang="en-US" b="1" dirty="0">
                <a:solidFill>
                  <a:srgbClr val="FF0000"/>
                </a:solidFill>
                <a:latin typeface="Arial" pitchFamily="34" charset="0"/>
                <a:cs typeface="Arial" pitchFamily="34" charset="0"/>
              </a:rPr>
              <a:t>AD</a:t>
            </a:r>
            <a:r>
              <a:rPr lang="en-US" b="1" baseline="0" dirty="0">
                <a:solidFill>
                  <a:srgbClr val="FF0000"/>
                </a:solidFill>
                <a:latin typeface="Arial" pitchFamily="34" charset="0"/>
                <a:cs typeface="Arial" pitchFamily="34" charset="0"/>
              </a:rPr>
              <a:t> / DD ratio</a:t>
            </a:r>
            <a:endParaRPr lang="en-US" b="1" dirty="0">
              <a:solidFill>
                <a:srgbClr val="FF0000"/>
              </a:solidFill>
              <a:latin typeface="Arial" pitchFamily="34" charset="0"/>
              <a:cs typeface="Arial" pitchFamily="34" charset="0"/>
            </a:endParaRPr>
          </a:p>
        </c:rich>
      </c:tx>
    </c:title>
    <c:plotArea>
      <c:layout/>
      <c:pie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1400" b="1"/>
                      <a:t>33.3%</a:t>
                    </a:r>
                  </a:p>
                </c:rich>
              </c:tx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sz="1400" b="1"/>
                      <a:t>66.7%</a:t>
                    </a:r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Percent val="1"/>
          </c:dLbls>
          <c:cat>
            <c:strRef>
              <c:f>Sheet1!$A$2:$A$3</c:f>
              <c:strCache>
                <c:ptCount val="2"/>
                <c:pt idx="0">
                  <c:v>&gt; 1.5: dilated aorta</c:v>
                </c:pt>
                <c:pt idx="1">
                  <c:v>&lt; 1.5: normal aorta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33.300000000000004</c:v>
                </c:pt>
                <c:pt idx="1">
                  <c:v>66.7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 sz="1600" b="1"/>
            </a:pPr>
            <a:endParaRPr lang="en-US"/>
          </a:p>
        </c:txPr>
      </c:legendEntry>
      <c:layout>
        <c:manualLayout>
          <c:xMode val="edge"/>
          <c:yMode val="edge"/>
          <c:x val="0.57670610909337061"/>
          <c:y val="0.32735441605015536"/>
          <c:w val="0.40821278841866332"/>
          <c:h val="0.55578115761779656"/>
        </c:manualLayout>
      </c:layout>
      <c:txPr>
        <a:bodyPr/>
        <a:lstStyle/>
        <a:p>
          <a:pPr>
            <a:defRPr sz="1600" b="1"/>
          </a:pPr>
          <a:endParaRPr lang="en-US"/>
        </a:p>
      </c:txPr>
    </c:legend>
    <c:plotVisOnly val="1"/>
  </c:chart>
  <c:txPr>
    <a:bodyPr/>
    <a:lstStyle/>
    <a:p>
      <a:pPr>
        <a:defRPr sz="1800"/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title>
      <c:tx>
        <c:rich>
          <a:bodyPr/>
          <a:lstStyle/>
          <a:p>
            <a:pPr>
              <a:defRPr/>
            </a:pPr>
            <a:r>
              <a:rPr lang="en-US"/>
              <a:t>Medications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Sheet1!$B$2</c:f>
              <c:strCache>
                <c:ptCount val="1"/>
                <c:pt idx="0">
                  <c:v>Yes</c:v>
                </c:pt>
              </c:strCache>
            </c:strRef>
          </c:tx>
          <c:cat>
            <c:strRef>
              <c:f>Sheet1!$A$3:$A$5</c:f>
              <c:strCache>
                <c:ptCount val="3"/>
                <c:pt idx="0">
                  <c:v>Hypothyroidism</c:v>
                </c:pt>
                <c:pt idx="1">
                  <c:v>RGH </c:v>
                </c:pt>
                <c:pt idx="2">
                  <c:v>HRT</c:v>
                </c:pt>
              </c:strCache>
            </c:strRef>
          </c:cat>
          <c:val>
            <c:numRef>
              <c:f>Sheet1!$B$3:$B$5</c:f>
              <c:numCache>
                <c:formatCode>General</c:formatCode>
                <c:ptCount val="3"/>
                <c:pt idx="0">
                  <c:v>53.3</c:v>
                </c:pt>
                <c:pt idx="1">
                  <c:v>86.7</c:v>
                </c:pt>
                <c:pt idx="2">
                  <c:v>33.300000000000004</c:v>
                </c:pt>
              </c:numCache>
            </c:numRef>
          </c:val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No</c:v>
                </c:pt>
              </c:strCache>
            </c:strRef>
          </c:tx>
          <c:cat>
            <c:strRef>
              <c:f>Sheet1!$A$3:$A$5</c:f>
              <c:strCache>
                <c:ptCount val="3"/>
                <c:pt idx="0">
                  <c:v>Hypothyroidism</c:v>
                </c:pt>
                <c:pt idx="1">
                  <c:v>RGH </c:v>
                </c:pt>
                <c:pt idx="2">
                  <c:v>HRT</c:v>
                </c:pt>
              </c:strCache>
            </c:strRef>
          </c:cat>
          <c:val>
            <c:numRef>
              <c:f>Sheet1!$C$3:$C$5</c:f>
              <c:numCache>
                <c:formatCode>General</c:formatCode>
                <c:ptCount val="3"/>
                <c:pt idx="0">
                  <c:v>46.7</c:v>
                </c:pt>
                <c:pt idx="1">
                  <c:v>13.3</c:v>
                </c:pt>
                <c:pt idx="2">
                  <c:v>66.7</c:v>
                </c:pt>
              </c:numCache>
            </c:numRef>
          </c:val>
        </c:ser>
        <c:axId val="88954752"/>
        <c:axId val="89439232"/>
      </c:barChart>
      <c:catAx>
        <c:axId val="88954752"/>
        <c:scaling>
          <c:orientation val="minMax"/>
        </c:scaling>
        <c:axPos val="b"/>
        <c:majorTickMark val="none"/>
        <c:tickLblPos val="nextTo"/>
        <c:crossAx val="89439232"/>
        <c:crosses val="autoZero"/>
        <c:auto val="1"/>
        <c:lblAlgn val="ctr"/>
        <c:lblOffset val="100"/>
      </c:catAx>
      <c:valAx>
        <c:axId val="8943923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percent</a:t>
                </a:r>
              </a:p>
            </c:rich>
          </c:tx>
        </c:title>
        <c:numFmt formatCode="General" sourceLinked="1"/>
        <c:majorTickMark val="none"/>
        <c:tickLblPos val="nextTo"/>
        <c:crossAx val="8895475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</c:chart>
  <c:txPr>
    <a:bodyPr/>
    <a:lstStyle/>
    <a:p>
      <a:pPr>
        <a:defRPr sz="1400" b="1"/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title>
      <c:tx>
        <c:rich>
          <a:bodyPr/>
          <a:lstStyle/>
          <a:p>
            <a:pPr>
              <a:defRPr/>
            </a:pPr>
            <a:r>
              <a:rPr lang="en-US"/>
              <a:t>Stature centiles of studied cases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HRT</c:v>
                </c:pt>
              </c:strCache>
            </c:strRef>
          </c:tx>
          <c:dLbls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Percent val="1"/>
          </c:dLbls>
          <c:cat>
            <c:strRef>
              <c:f>Sheet1!$A$2:$A$9</c:f>
              <c:strCache>
                <c:ptCount val="8"/>
                <c:pt idx="0">
                  <c:v>10th</c:v>
                </c:pt>
                <c:pt idx="1">
                  <c:v>10th - 25th</c:v>
                </c:pt>
                <c:pt idx="2">
                  <c:v>50th</c:v>
                </c:pt>
                <c:pt idx="3">
                  <c:v>75th</c:v>
                </c:pt>
                <c:pt idx="4">
                  <c:v>75th - 90th</c:v>
                </c:pt>
                <c:pt idx="5">
                  <c:v>90th</c:v>
                </c:pt>
                <c:pt idx="6">
                  <c:v>95th</c:v>
                </c:pt>
                <c:pt idx="7">
                  <c:v>&gt;95th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1</c:v>
                </c:pt>
                <c:pt idx="1">
                  <c:v>1</c:v>
                </c:pt>
                <c:pt idx="2">
                  <c:v>3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  <c:pt idx="7">
                  <c:v>2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73116733031945169"/>
          <c:y val="0.17712178021477867"/>
          <c:w val="0.25362354420526334"/>
          <c:h val="0.73168474550557872"/>
        </c:manualLayout>
      </c:layout>
      <c:txPr>
        <a:bodyPr/>
        <a:lstStyle/>
        <a:p>
          <a:pPr>
            <a:defRPr sz="1600" b="1"/>
          </a:pPr>
          <a:endParaRPr lang="en-US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title>
      <c:tx>
        <c:rich>
          <a:bodyPr/>
          <a:lstStyle/>
          <a:p>
            <a:pPr>
              <a:defRPr/>
            </a:pPr>
            <a:r>
              <a:rPr lang="en-US" dirty="0">
                <a:solidFill>
                  <a:srgbClr val="FF0000"/>
                </a:solidFill>
              </a:rPr>
              <a:t>BMI</a:t>
            </a:r>
          </a:p>
        </c:rich>
      </c:tx>
    </c:title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HRT</c:v>
                </c:pt>
              </c:strCache>
            </c:strRef>
          </c:tx>
          <c:dLbls>
            <c:txPr>
              <a:bodyPr/>
              <a:lstStyle/>
              <a:p>
                <a:pPr>
                  <a:defRPr sz="1800"/>
                </a:pPr>
                <a:endParaRPr lang="en-US"/>
              </a:p>
            </c:txPr>
            <c:showPercent val="1"/>
          </c:dLbls>
          <c:cat>
            <c:strRef>
              <c:f>Sheet1!$A$2:$A$5</c:f>
              <c:strCache>
                <c:ptCount val="3"/>
                <c:pt idx="0">
                  <c:v>HRT</c:v>
                </c:pt>
                <c:pt idx="1">
                  <c:v>Overweight</c:v>
                </c:pt>
                <c:pt idx="2">
                  <c:v>normal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1">
                  <c:v>20</c:v>
                </c:pt>
                <c:pt idx="2">
                  <c:v>80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  <c:legendEntry>
        <c:idx val="0"/>
        <c:delete val="1"/>
      </c:legendEntry>
      <c:legendEntry>
        <c:idx val="3"/>
        <c:delete val="1"/>
      </c:legendEntry>
      <c:txPr>
        <a:bodyPr/>
        <a:lstStyle/>
        <a:p>
          <a:pPr>
            <a:defRPr sz="2000"/>
          </a:pPr>
          <a:endParaRPr lang="en-US"/>
        </a:p>
      </c:txPr>
    </c:legend>
    <c:plotVisOnly val="1"/>
  </c:chart>
  <c:txPr>
    <a:bodyPr/>
    <a:lstStyle/>
    <a:p>
      <a:pPr>
        <a:defRPr sz="2400" b="1"/>
      </a:pPr>
      <a:endParaRPr lang="en-US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title>
      <c:tx>
        <c:rich>
          <a:bodyPr/>
          <a:lstStyle/>
          <a:p>
            <a:pPr>
              <a:defRPr/>
            </a:pPr>
            <a:r>
              <a:rPr lang="en-US"/>
              <a:t>Clinical features</a:t>
            </a:r>
          </a:p>
        </c:rich>
      </c:tx>
    </c:title>
    <c:view3D>
      <c:rotX val="10"/>
      <c:rotY val="0"/>
      <c:rAngAx val="1"/>
    </c:view3D>
    <c:plotArea>
      <c:layout>
        <c:manualLayout>
          <c:layoutTarget val="inner"/>
          <c:xMode val="edge"/>
          <c:yMode val="edge"/>
          <c:x val="9.9306984021134151E-2"/>
          <c:y val="0.15194666558153325"/>
          <c:w val="0.87680593671720064"/>
          <c:h val="0.58505503440771511"/>
        </c:manualLayout>
      </c:layout>
      <c:bar3DChart>
        <c:barDir val="col"/>
        <c:grouping val="clustered"/>
        <c:ser>
          <c:idx val="0"/>
          <c:order val="0"/>
          <c:tx>
            <c:strRef>
              <c:f>Sheet4!$B$7</c:f>
              <c:strCache>
                <c:ptCount val="1"/>
                <c:pt idx="0">
                  <c:v>Short stature</c:v>
                </c:pt>
              </c:strCache>
            </c:strRef>
          </c:tx>
          <c:dLbls>
            <c:showVal val="1"/>
          </c:dLbls>
          <c:cat>
            <c:strRef>
              <c:f>Sheet4!$C$6</c:f>
              <c:strCache>
                <c:ptCount val="1"/>
                <c:pt idx="0">
                  <c:v>Clinical features</c:v>
                </c:pt>
              </c:strCache>
            </c:strRef>
          </c:cat>
          <c:val>
            <c:numRef>
              <c:f>Sheet4!$C$7</c:f>
              <c:numCache>
                <c:formatCode>0.0%</c:formatCode>
                <c:ptCount val="1"/>
                <c:pt idx="0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Sheet4!$B$8</c:f>
              <c:strCache>
                <c:ptCount val="1"/>
                <c:pt idx="0">
                  <c:v>Low posterior hair line</c:v>
                </c:pt>
              </c:strCache>
            </c:strRef>
          </c:tx>
          <c:dLbls>
            <c:showVal val="1"/>
          </c:dLbls>
          <c:cat>
            <c:strRef>
              <c:f>Sheet4!$C$6</c:f>
              <c:strCache>
                <c:ptCount val="1"/>
                <c:pt idx="0">
                  <c:v>Clinical features</c:v>
                </c:pt>
              </c:strCache>
            </c:strRef>
          </c:cat>
          <c:val>
            <c:numRef>
              <c:f>Sheet4!$C$8</c:f>
              <c:numCache>
                <c:formatCode>0.0%</c:formatCode>
                <c:ptCount val="1"/>
                <c:pt idx="0">
                  <c:v>0.93299999999999994</c:v>
                </c:pt>
              </c:numCache>
            </c:numRef>
          </c:val>
        </c:ser>
        <c:ser>
          <c:idx val="2"/>
          <c:order val="2"/>
          <c:tx>
            <c:strRef>
              <c:f>Sheet4!$B$9</c:f>
              <c:strCache>
                <c:ptCount val="1"/>
                <c:pt idx="0">
                  <c:v>Cubitus valdus</c:v>
                </c:pt>
              </c:strCache>
            </c:strRef>
          </c:tx>
          <c:dLbls>
            <c:showVal val="1"/>
          </c:dLbls>
          <c:cat>
            <c:strRef>
              <c:f>Sheet4!$C$6</c:f>
              <c:strCache>
                <c:ptCount val="1"/>
                <c:pt idx="0">
                  <c:v>Clinical features</c:v>
                </c:pt>
              </c:strCache>
            </c:strRef>
          </c:cat>
          <c:val>
            <c:numRef>
              <c:f>Sheet4!$C$9</c:f>
              <c:numCache>
                <c:formatCode>0.0%</c:formatCode>
                <c:ptCount val="1"/>
                <c:pt idx="0">
                  <c:v>0.86700000000000488</c:v>
                </c:pt>
              </c:numCache>
            </c:numRef>
          </c:val>
        </c:ser>
        <c:ser>
          <c:idx val="3"/>
          <c:order val="3"/>
          <c:tx>
            <c:strRef>
              <c:f>Sheet4!$B$10</c:f>
              <c:strCache>
                <c:ptCount val="1"/>
                <c:pt idx="0">
                  <c:v>Broad chest with inverted nipples</c:v>
                </c:pt>
              </c:strCache>
            </c:strRef>
          </c:tx>
          <c:dLbls>
            <c:showVal val="1"/>
          </c:dLbls>
          <c:cat>
            <c:strRef>
              <c:f>Sheet4!$C$6</c:f>
              <c:strCache>
                <c:ptCount val="1"/>
                <c:pt idx="0">
                  <c:v>Clinical features</c:v>
                </c:pt>
              </c:strCache>
            </c:strRef>
          </c:cat>
          <c:val>
            <c:numRef>
              <c:f>Sheet4!$C$10</c:f>
              <c:numCache>
                <c:formatCode>0.0%</c:formatCode>
                <c:ptCount val="1"/>
                <c:pt idx="0">
                  <c:v>0.8</c:v>
                </c:pt>
              </c:numCache>
            </c:numRef>
          </c:val>
        </c:ser>
        <c:ser>
          <c:idx val="4"/>
          <c:order val="4"/>
          <c:tx>
            <c:strRef>
              <c:f>Sheet4!$B$11</c:f>
              <c:strCache>
                <c:ptCount val="1"/>
                <c:pt idx="0">
                  <c:v>Tendency for obesity</c:v>
                </c:pt>
              </c:strCache>
            </c:strRef>
          </c:tx>
          <c:dLbls>
            <c:showVal val="1"/>
          </c:dLbls>
          <c:cat>
            <c:strRef>
              <c:f>Sheet4!$C$6</c:f>
              <c:strCache>
                <c:ptCount val="1"/>
                <c:pt idx="0">
                  <c:v>Clinical features</c:v>
                </c:pt>
              </c:strCache>
            </c:strRef>
          </c:cat>
          <c:val>
            <c:numRef>
              <c:f>Sheet4!$C$11</c:f>
              <c:numCache>
                <c:formatCode>0.0%</c:formatCode>
                <c:ptCount val="1"/>
                <c:pt idx="0">
                  <c:v>0.60000000000000064</c:v>
                </c:pt>
              </c:numCache>
            </c:numRef>
          </c:val>
        </c:ser>
        <c:ser>
          <c:idx val="5"/>
          <c:order val="5"/>
          <c:tx>
            <c:strRef>
              <c:f>Sheet4!$B$12</c:f>
              <c:strCache>
                <c:ptCount val="1"/>
                <c:pt idx="0">
                  <c:v>Short 4th metacarpal</c:v>
                </c:pt>
              </c:strCache>
            </c:strRef>
          </c:tx>
          <c:dLbls>
            <c:showVal val="1"/>
          </c:dLbls>
          <c:cat>
            <c:strRef>
              <c:f>Sheet4!$C$6</c:f>
              <c:strCache>
                <c:ptCount val="1"/>
                <c:pt idx="0">
                  <c:v>Clinical features</c:v>
                </c:pt>
              </c:strCache>
            </c:strRef>
          </c:cat>
          <c:val>
            <c:numRef>
              <c:f>Sheet4!$C$12</c:f>
              <c:numCache>
                <c:formatCode>0.0%</c:formatCode>
                <c:ptCount val="1"/>
                <c:pt idx="0">
                  <c:v>0.46700000000000008</c:v>
                </c:pt>
              </c:numCache>
            </c:numRef>
          </c:val>
        </c:ser>
        <c:ser>
          <c:idx val="6"/>
          <c:order val="6"/>
          <c:tx>
            <c:strRef>
              <c:f>Sheet4!$B$13</c:f>
              <c:strCache>
                <c:ptCount val="1"/>
                <c:pt idx="0">
                  <c:v>Pigmented nevi</c:v>
                </c:pt>
              </c:strCache>
            </c:strRef>
          </c:tx>
          <c:dLbls>
            <c:showVal val="1"/>
          </c:dLbls>
          <c:cat>
            <c:strRef>
              <c:f>Sheet4!$C$6</c:f>
              <c:strCache>
                <c:ptCount val="1"/>
                <c:pt idx="0">
                  <c:v>Clinical features</c:v>
                </c:pt>
              </c:strCache>
            </c:strRef>
          </c:cat>
          <c:val>
            <c:numRef>
              <c:f>Sheet4!$C$13</c:f>
              <c:numCache>
                <c:formatCode>0.0%</c:formatCode>
                <c:ptCount val="1"/>
                <c:pt idx="0">
                  <c:v>0.4</c:v>
                </c:pt>
              </c:numCache>
            </c:numRef>
          </c:val>
        </c:ser>
        <c:ser>
          <c:idx val="7"/>
          <c:order val="7"/>
          <c:tx>
            <c:strRef>
              <c:f>Sheet4!$B$14</c:f>
              <c:strCache>
                <c:ptCount val="1"/>
                <c:pt idx="0">
                  <c:v>Behavioral</c:v>
                </c:pt>
              </c:strCache>
            </c:strRef>
          </c:tx>
          <c:dLbls>
            <c:showVal val="1"/>
          </c:dLbls>
          <c:cat>
            <c:strRef>
              <c:f>Sheet4!$C$6</c:f>
              <c:strCache>
                <c:ptCount val="1"/>
                <c:pt idx="0">
                  <c:v>Clinical features</c:v>
                </c:pt>
              </c:strCache>
            </c:strRef>
          </c:cat>
          <c:val>
            <c:numRef>
              <c:f>Sheet4!$C$14</c:f>
              <c:numCache>
                <c:formatCode>0.0%</c:formatCode>
                <c:ptCount val="1"/>
                <c:pt idx="0">
                  <c:v>0.26700000000000002</c:v>
                </c:pt>
              </c:numCache>
            </c:numRef>
          </c:val>
        </c:ser>
        <c:ser>
          <c:idx val="8"/>
          <c:order val="8"/>
          <c:tx>
            <c:strRef>
              <c:f>Sheet4!$B$15</c:f>
              <c:strCache>
                <c:ptCount val="1"/>
                <c:pt idx="0">
                  <c:v>Webbed neck</c:v>
                </c:pt>
              </c:strCache>
            </c:strRef>
          </c:tx>
          <c:dLbls>
            <c:showVal val="1"/>
          </c:dLbls>
          <c:cat>
            <c:strRef>
              <c:f>Sheet4!$C$6</c:f>
              <c:strCache>
                <c:ptCount val="1"/>
                <c:pt idx="0">
                  <c:v>Clinical features</c:v>
                </c:pt>
              </c:strCache>
            </c:strRef>
          </c:cat>
          <c:val>
            <c:numRef>
              <c:f>Sheet4!$C$15</c:f>
              <c:numCache>
                <c:formatCode>0.0%</c:formatCode>
                <c:ptCount val="1"/>
                <c:pt idx="0">
                  <c:v>0.2</c:v>
                </c:pt>
              </c:numCache>
            </c:numRef>
          </c:val>
        </c:ser>
        <c:dLbls>
          <c:showVal val="1"/>
        </c:dLbls>
        <c:gapWidth val="75"/>
        <c:shape val="cylinder"/>
        <c:axId val="88449408"/>
        <c:axId val="88450944"/>
        <c:axId val="0"/>
      </c:bar3DChart>
      <c:catAx>
        <c:axId val="88449408"/>
        <c:scaling>
          <c:orientation val="minMax"/>
        </c:scaling>
        <c:delete val="1"/>
        <c:axPos val="b"/>
        <c:majorTickMark val="none"/>
        <c:tickLblPos val="nextTo"/>
        <c:crossAx val="88450944"/>
        <c:crosses val="autoZero"/>
        <c:auto val="1"/>
        <c:lblAlgn val="ctr"/>
        <c:lblOffset val="100"/>
      </c:catAx>
      <c:valAx>
        <c:axId val="88450944"/>
        <c:scaling>
          <c:orientation val="minMax"/>
        </c:scaling>
        <c:axPos val="l"/>
        <c:numFmt formatCode="0.0%" sourceLinked="1"/>
        <c:majorTickMark val="none"/>
        <c:tickLblPos val="nextTo"/>
        <c:crossAx val="88449408"/>
        <c:crosses val="autoZero"/>
        <c:crossBetween val="between"/>
        <c:majorUnit val="0.2"/>
      </c:valAx>
    </c:plotArea>
    <c:legend>
      <c:legendPos val="b"/>
      <c:layout>
        <c:manualLayout>
          <c:xMode val="edge"/>
          <c:yMode val="edge"/>
          <c:x val="6.7024374396197239E-2"/>
          <c:y val="0.79860671174645259"/>
          <c:w val="0.89200988312942975"/>
          <c:h val="0.18072163530811497"/>
        </c:manualLayout>
      </c:layout>
    </c:legend>
    <c:plotVisOnly val="1"/>
    <c:dispBlanksAs val="gap"/>
  </c:chart>
  <c:spPr>
    <a:gradFill>
      <a:gsLst>
        <a:gs pos="0">
          <a:srgbClr val="FFEFD1"/>
        </a:gs>
        <a:gs pos="64999">
          <a:srgbClr val="F0EBD5"/>
        </a:gs>
        <a:gs pos="100000">
          <a:srgbClr val="D1C39F"/>
        </a:gs>
      </a:gsLst>
      <a:lin ang="5400000" scaled="0"/>
    </a:gradFill>
  </c:spPr>
  <c:txPr>
    <a:bodyPr/>
    <a:lstStyle/>
    <a:p>
      <a:pPr>
        <a:defRPr sz="1100" b="1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title>
      <c:tx>
        <c:rich>
          <a:bodyPr/>
          <a:lstStyle/>
          <a:p>
            <a:pPr>
              <a:defRPr/>
            </a:pPr>
            <a:r>
              <a:rPr lang="en-US" sz="2400" b="1" dirty="0">
                <a:solidFill>
                  <a:srgbClr val="FF0000"/>
                </a:solidFill>
                <a:latin typeface="Arial" pitchFamily="34" charset="0"/>
                <a:cs typeface="Arial" pitchFamily="34" charset="0"/>
              </a:rPr>
              <a:t>SBP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800" b="0"/>
                </a:pPr>
                <a:endParaRPr lang="en-US"/>
              </a:p>
            </c:txPr>
            <c:dLblPos val="ctr"/>
            <c:showPercent val="1"/>
          </c:dLbls>
          <c:cat>
            <c:strRef>
              <c:f>Sheet1!$A$2:$A$4</c:f>
              <c:strCache>
                <c:ptCount val="3"/>
                <c:pt idx="0">
                  <c:v>&gt; 95th</c:v>
                </c:pt>
                <c:pt idx="1">
                  <c:v>75 th - 95 th</c:v>
                </c:pt>
                <c:pt idx="2">
                  <c:v>50th - 75th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40</c:v>
                </c:pt>
                <c:pt idx="1">
                  <c:v>26.666666666666668</c:v>
                </c:pt>
                <c:pt idx="2">
                  <c:v>33.333333333333329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overlay val="1"/>
    </c:legend>
    <c:plotVisOnly val="1"/>
  </c:chart>
  <c:txPr>
    <a:bodyPr/>
    <a:lstStyle/>
    <a:p>
      <a:pPr>
        <a:defRPr sz="1800"/>
      </a:pPr>
      <a:endParaRPr lang="en-US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title>
      <c:tx>
        <c:rich>
          <a:bodyPr/>
          <a:lstStyle/>
          <a:p>
            <a:pPr>
              <a:defRPr/>
            </a:pPr>
            <a:r>
              <a:rPr lang="en-US" sz="2400" b="1" dirty="0">
                <a:solidFill>
                  <a:srgbClr val="FF0000"/>
                </a:solidFill>
                <a:latin typeface="Arial" pitchFamily="34" charset="0"/>
                <a:cs typeface="Arial" pitchFamily="34" charset="0"/>
              </a:rPr>
              <a:t>DBP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txPr>
              <a:bodyPr/>
              <a:lstStyle/>
              <a:p>
                <a:pPr>
                  <a:defRPr sz="1600" b="0"/>
                </a:pPr>
                <a:endParaRPr lang="en-US"/>
              </a:p>
            </c:txPr>
            <c:showPercent val="1"/>
          </c:dLbls>
          <c:cat>
            <c:strRef>
              <c:f>Sheet1!$A$2:$A$4</c:f>
              <c:strCache>
                <c:ptCount val="3"/>
                <c:pt idx="0">
                  <c:v>&gt; 95th</c:v>
                </c:pt>
                <c:pt idx="1">
                  <c:v>75 th - 95 th</c:v>
                </c:pt>
                <c:pt idx="2">
                  <c:v>50th - 75th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8</c:v>
                </c:pt>
                <c:pt idx="1">
                  <c:v>2</c:v>
                </c:pt>
                <c:pt idx="2">
                  <c:v>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 b="1"/>
            </a:pPr>
            <a:endParaRPr lang="en-US"/>
          </a:p>
        </c:txPr>
      </c:legendEntry>
      <c:txPr>
        <a:bodyPr/>
        <a:lstStyle/>
        <a:p>
          <a:pPr>
            <a:defRPr b="1"/>
          </a:pPr>
          <a:endParaRPr lang="en-US"/>
        </a:p>
      </c:txPr>
    </c:legend>
    <c:plotVisOnly val="1"/>
  </c:chart>
  <c:txPr>
    <a:bodyPr/>
    <a:lstStyle/>
    <a:p>
      <a:pPr>
        <a:defRPr sz="1800"/>
      </a:pPr>
      <a:endParaRPr lang="en-US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title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Karyotype</c:v>
                </c:pt>
              </c:strCache>
            </c:strRef>
          </c:tx>
          <c:dLbls>
            <c:txPr>
              <a:bodyPr/>
              <a:lstStyle/>
              <a:p>
                <a:pPr>
                  <a:defRPr sz="1200" b="0"/>
                </a:pPr>
                <a:endParaRPr lang="en-US"/>
              </a:p>
            </c:txPr>
            <c:showPercent val="1"/>
          </c:dLbls>
          <c:cat>
            <c:strRef>
              <c:f>Sheet1!$A$2:$A$5</c:f>
              <c:strCache>
                <c:ptCount val="4"/>
                <c:pt idx="0">
                  <c:v>45,X</c:v>
                </c:pt>
                <c:pt idx="1">
                  <c:v>45,X and 46,XX</c:v>
                </c:pt>
                <c:pt idx="2">
                  <c:v>45,X and 47,XXX</c:v>
                </c:pt>
                <c:pt idx="3">
                  <c:v>46,X,I(X)(q10)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40</c:v>
                </c:pt>
                <c:pt idx="1">
                  <c:v>40</c:v>
                </c:pt>
                <c:pt idx="2">
                  <c:v>13.3</c:v>
                </c:pt>
                <c:pt idx="3">
                  <c:v>6.7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txPr>
        <a:bodyPr/>
        <a:lstStyle/>
        <a:p>
          <a:pPr>
            <a:defRPr sz="1600"/>
          </a:pPr>
          <a:endParaRPr lang="en-US"/>
        </a:p>
      </c:txPr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26"/>
  <c:chart>
    <c:title>
      <c:tx>
        <c:rich>
          <a:bodyPr/>
          <a:lstStyle/>
          <a:p>
            <a:pPr>
              <a:defRPr/>
            </a:pPr>
            <a:r>
              <a:rPr lang="en-US" b="1" dirty="0">
                <a:solidFill>
                  <a:srgbClr val="FF0000"/>
                </a:solidFill>
                <a:latin typeface="Arial" pitchFamily="34" charset="0"/>
                <a:cs typeface="Arial" pitchFamily="34" charset="0"/>
              </a:rPr>
              <a:t>Echocardiography</a:t>
            </a:r>
          </a:p>
        </c:rich>
      </c:tx>
    </c:title>
    <c:plotArea>
      <c:layout/>
      <c:pieChart>
        <c:varyColors val="1"/>
        <c:ser>
          <c:idx val="0"/>
          <c:order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 sz="1400" b="1"/>
                      <a:t>6.7%</a:t>
                    </a:r>
                  </a:p>
                </c:rich>
              </c:tx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1400" b="1"/>
                      <a:t>73.3%</a:t>
                    </a:r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 sz="1400" b="1"/>
                </a:pPr>
                <a:endParaRPr lang="en-US"/>
              </a:p>
            </c:txPr>
            <c:showPercent val="1"/>
          </c:dLbls>
          <c:cat>
            <c:strRef>
              <c:f>Sheet1!$A$3:$A$5</c:f>
              <c:strCache>
                <c:ptCount val="3"/>
                <c:pt idx="0">
                  <c:v>Mild MR and MVP</c:v>
                </c:pt>
                <c:pt idx="1">
                  <c:v>Mild TR and PR</c:v>
                </c:pt>
                <c:pt idx="2">
                  <c:v>Normal</c:v>
                </c:pt>
              </c:strCache>
            </c:strRef>
          </c:cat>
          <c:val>
            <c:numRef>
              <c:f>Sheet1!$B$3:$B$5</c:f>
              <c:numCache>
                <c:formatCode>General</c:formatCode>
                <c:ptCount val="3"/>
                <c:pt idx="0">
                  <c:v>20</c:v>
                </c:pt>
                <c:pt idx="1">
                  <c:v>6.7</c:v>
                </c:pt>
                <c:pt idx="2">
                  <c:v>73.3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 sz="1600" b="1"/>
            </a:pPr>
            <a:endParaRPr lang="en-US"/>
          </a:p>
        </c:txPr>
      </c:legendEntry>
      <c:layout>
        <c:manualLayout>
          <c:xMode val="edge"/>
          <c:yMode val="edge"/>
          <c:x val="0.60013095999620458"/>
          <c:y val="0.32183144071901432"/>
          <c:w val="0.38662706586527207"/>
          <c:h val="0.46145524998654541"/>
        </c:manualLayout>
      </c:layout>
      <c:txPr>
        <a:bodyPr/>
        <a:lstStyle/>
        <a:p>
          <a:pPr>
            <a:defRPr sz="1600" b="1"/>
          </a:pPr>
          <a:endParaRPr lang="en-US"/>
        </a:p>
      </c:txPr>
    </c:legend>
    <c:plotVisOnly val="1"/>
  </c:chart>
  <c:txPr>
    <a:bodyPr/>
    <a:lstStyle/>
    <a:p>
      <a:pPr>
        <a:defRPr sz="1800"/>
      </a:pPr>
      <a:endParaRPr lang="en-US"/>
    </a:p>
  </c:txPr>
  <c:externalData r:id="rId1"/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C43C219AB0B456793F17B226ABCA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8DE7F-4601-45C3-A529-88B7F864464E}"/>
      </w:docPartPr>
      <w:docPartBody>
        <w:p w:rsidR="007C7848" w:rsidRDefault="00D15D0C" w:rsidP="00D15D0C">
          <w:pPr>
            <w:pStyle w:val="FC43C219AB0B456793F17B226ABCA589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D15D0C"/>
    <w:rsid w:val="001133F5"/>
    <w:rsid w:val="00196351"/>
    <w:rsid w:val="001E7472"/>
    <w:rsid w:val="002F612A"/>
    <w:rsid w:val="003872BD"/>
    <w:rsid w:val="00413D46"/>
    <w:rsid w:val="004C0666"/>
    <w:rsid w:val="005176AA"/>
    <w:rsid w:val="00527E2A"/>
    <w:rsid w:val="00690A46"/>
    <w:rsid w:val="007C7848"/>
    <w:rsid w:val="008F0992"/>
    <w:rsid w:val="00A30040"/>
    <w:rsid w:val="00BA4FF7"/>
    <w:rsid w:val="00C636F2"/>
    <w:rsid w:val="00D15D0C"/>
    <w:rsid w:val="00E37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43C219AB0B456793F17B226ABCA589">
    <w:name w:val="FC43C219AB0B456793F17B226ABCA589"/>
    <w:rsid w:val="00D15D0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15</Pages>
  <Words>1425</Words>
  <Characters>8128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Results</vt:lpstr>
    </vt:vector>
  </TitlesOfParts>
  <Company/>
  <LinksUpToDate>false</LinksUpToDate>
  <CharactersWithSpaces>9534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Results</dc:title>
  <dc:subject/>
  <dc:creator>pc</dc:creator>
  <cp:keywords/>
  <dc:description/>
  <cp:lastModifiedBy>pc</cp:lastModifiedBy>
  <cp:revision>77</cp:revision>
  <cp:lastPrinted>2014-09-30T06:52:00Z</cp:lastPrinted>
  <dcterms:created xsi:type="dcterms:W3CDTF">2014-09-06T16:22:00Z</dcterms:created>
  <dcterms:modified xsi:type="dcterms:W3CDTF">2014-09-30T19:19:00Z</dcterms:modified>
</cp:coreProperties>
</file>