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B6B" w:rsidRPr="00FC7764" w:rsidRDefault="003E1E80" w:rsidP="003E1E80">
      <w:pPr>
        <w:bidi w:val="0"/>
        <w:spacing w:line="360" w:lineRule="auto"/>
        <w:jc w:val="center"/>
        <w:rPr>
          <w:rFonts w:asciiTheme="minorBidi" w:eastAsiaTheme="minorEastAsia" w:hAnsiTheme="minorBidi"/>
          <w:b/>
          <w:bCs/>
          <w:sz w:val="36"/>
          <w:szCs w:val="36"/>
        </w:rPr>
      </w:pPr>
      <w:bookmarkStart w:id="0" w:name="_GoBack"/>
      <w:r w:rsidRPr="00FC7764">
        <w:rPr>
          <w:rFonts w:asciiTheme="minorBidi" w:eastAsiaTheme="minorEastAsia" w:hAnsiTheme="minorBidi"/>
          <w:b/>
          <w:bCs/>
          <w:sz w:val="36"/>
          <w:szCs w:val="36"/>
        </w:rPr>
        <w:t xml:space="preserve">Serum </w:t>
      </w:r>
      <w:r w:rsidR="009E1B6B" w:rsidRPr="00FC7764">
        <w:rPr>
          <w:rFonts w:asciiTheme="minorBidi" w:eastAsiaTheme="minorEastAsia" w:hAnsiTheme="minorBidi"/>
          <w:b/>
          <w:bCs/>
          <w:sz w:val="36"/>
          <w:szCs w:val="36"/>
        </w:rPr>
        <w:t>Fibroblast</w:t>
      </w:r>
      <w:r w:rsidR="00FC7764">
        <w:rPr>
          <w:rFonts w:asciiTheme="minorBidi" w:eastAsiaTheme="minorEastAsia" w:hAnsiTheme="minorBidi"/>
          <w:b/>
          <w:bCs/>
          <w:sz w:val="36"/>
          <w:szCs w:val="36"/>
        </w:rPr>
        <w:t xml:space="preserve"> Growth F</w:t>
      </w:r>
      <w:r w:rsidR="009E1B6B" w:rsidRPr="00FC7764">
        <w:rPr>
          <w:rFonts w:asciiTheme="minorBidi" w:eastAsiaTheme="minorEastAsia" w:hAnsiTheme="minorBidi"/>
          <w:b/>
          <w:bCs/>
          <w:sz w:val="36"/>
          <w:szCs w:val="36"/>
        </w:rPr>
        <w:t xml:space="preserve">actor 21 </w:t>
      </w:r>
      <w:r w:rsidR="00FC7764">
        <w:rPr>
          <w:rFonts w:asciiTheme="minorBidi" w:eastAsiaTheme="minorEastAsia" w:hAnsiTheme="minorBidi"/>
          <w:b/>
          <w:bCs/>
          <w:sz w:val="36"/>
          <w:szCs w:val="36"/>
        </w:rPr>
        <w:t>as a Novel B</w:t>
      </w:r>
      <w:r w:rsidR="00B800EA" w:rsidRPr="00FC7764">
        <w:rPr>
          <w:rFonts w:asciiTheme="minorBidi" w:eastAsiaTheme="minorEastAsia" w:hAnsiTheme="minorBidi"/>
          <w:b/>
          <w:bCs/>
          <w:sz w:val="36"/>
          <w:szCs w:val="36"/>
        </w:rPr>
        <w:t xml:space="preserve">iomarker </w:t>
      </w:r>
      <w:r w:rsidR="009E1B6B" w:rsidRPr="00FC7764">
        <w:rPr>
          <w:rFonts w:asciiTheme="minorBidi" w:eastAsiaTheme="minorEastAsia" w:hAnsiTheme="minorBidi"/>
          <w:b/>
          <w:bCs/>
          <w:sz w:val="36"/>
          <w:szCs w:val="36"/>
        </w:rPr>
        <w:t xml:space="preserve">in </w:t>
      </w:r>
      <w:r w:rsidR="00FC7764">
        <w:rPr>
          <w:rFonts w:asciiTheme="minorBidi" w:eastAsiaTheme="minorEastAsia" w:hAnsiTheme="minorBidi"/>
          <w:b/>
          <w:bCs/>
          <w:sz w:val="36"/>
          <w:szCs w:val="36"/>
        </w:rPr>
        <w:t>Prediction of Coronary Artery D</w:t>
      </w:r>
      <w:r w:rsidR="00B800EA" w:rsidRPr="00FC7764">
        <w:rPr>
          <w:rFonts w:asciiTheme="minorBidi" w:eastAsiaTheme="minorEastAsia" w:hAnsiTheme="minorBidi"/>
          <w:b/>
          <w:bCs/>
          <w:sz w:val="36"/>
          <w:szCs w:val="36"/>
        </w:rPr>
        <w:t>isease severity</w:t>
      </w:r>
    </w:p>
    <w:bookmarkEnd w:id="0"/>
    <w:p w:rsidR="003E1E80" w:rsidRPr="003E1E80" w:rsidRDefault="00FC7764" w:rsidP="00FC7764">
      <w:pPr>
        <w:bidi w:val="0"/>
        <w:spacing w:line="360" w:lineRule="auto"/>
        <w:rPr>
          <w:rFonts w:ascii="Times New Roman" w:eastAsiaTheme="minorEastAsia" w:hAnsi="Times New Roman" w:cs="Times New Roman"/>
          <w:sz w:val="28"/>
          <w:szCs w:val="28"/>
        </w:rPr>
      </w:pPr>
      <w:r w:rsidRPr="003E1E80">
        <w:rPr>
          <w:rFonts w:ascii="Times New Roman" w:eastAsiaTheme="minorEastAsia" w:hAnsi="Times New Roman" w:cs="Times New Roman"/>
          <w:sz w:val="28"/>
          <w:szCs w:val="28"/>
        </w:rPr>
        <w:t>Mervat M.Khalaf</w:t>
      </w:r>
      <w:r>
        <w:rPr>
          <w:rFonts w:ascii="Times New Roman" w:eastAsiaTheme="minorEastAsia" w:hAnsi="Times New Roman" w:cs="Times New Roman"/>
          <w:sz w:val="28"/>
          <w:szCs w:val="28"/>
        </w:rPr>
        <w:t xml:space="preserve"> *1, </w:t>
      </w:r>
      <w:r w:rsidR="003E1E80" w:rsidRPr="003E1E80">
        <w:rPr>
          <w:rFonts w:ascii="Times New Roman" w:eastAsiaTheme="minorEastAsia" w:hAnsi="Times New Roman" w:cs="Times New Roman"/>
          <w:sz w:val="28"/>
          <w:szCs w:val="28"/>
        </w:rPr>
        <w:t>Salwa Fayez</w:t>
      </w:r>
      <w:r>
        <w:rPr>
          <w:rFonts w:ascii="Times New Roman" w:eastAsiaTheme="minorEastAsia" w:hAnsi="Times New Roman" w:cs="Times New Roman"/>
          <w:sz w:val="28"/>
          <w:szCs w:val="28"/>
        </w:rPr>
        <w:t xml:space="preserve"> 2, Taha Azouz 2.</w:t>
      </w:r>
    </w:p>
    <w:p w:rsidR="003E1E80" w:rsidRPr="00FF5925" w:rsidRDefault="00E00211" w:rsidP="00FC7764">
      <w:pPr>
        <w:bidi w:val="0"/>
        <w:spacing w:line="240" w:lineRule="auto"/>
        <w:rPr>
          <w:rFonts w:ascii="Times New Roman" w:hAnsi="Times New Roman" w:cs="Times New Roman"/>
        </w:rPr>
      </w:pPr>
      <w:r w:rsidRPr="00E00211">
        <w:rPr>
          <w:rFonts w:ascii="Times New Roman" w:hAnsi="Times New Roman" w:cs="Times New Roman"/>
          <w:vertAlign w:val="superscript"/>
        </w:rPr>
        <w:t>1</w:t>
      </w:r>
      <w:r w:rsidR="00FC7764" w:rsidRPr="00FC7764">
        <w:rPr>
          <w:rFonts w:ascii="Times New Roman" w:hAnsi="Times New Roman" w:cs="Times New Roman"/>
        </w:rPr>
        <w:t xml:space="preserve"> </w:t>
      </w:r>
      <w:r w:rsidR="00FC7764">
        <w:rPr>
          <w:rFonts w:ascii="Times New Roman" w:hAnsi="Times New Roman" w:cs="Times New Roman"/>
        </w:rPr>
        <w:t xml:space="preserve">Critical care </w:t>
      </w:r>
      <w:r w:rsidR="00FC7764" w:rsidRPr="007C5DB2">
        <w:rPr>
          <w:rFonts w:ascii="Times New Roman" w:hAnsi="Times New Roman" w:cs="Times New Roman"/>
        </w:rPr>
        <w:t>Medicine</w:t>
      </w:r>
      <w:r w:rsidR="00FC7764" w:rsidRPr="00A13F92">
        <w:rPr>
          <w:rFonts w:ascii="Times New Roman" w:hAnsi="Times New Roman" w:cs="Times New Roman"/>
          <w:color w:val="FF0000"/>
        </w:rPr>
        <w:t xml:space="preserve"> </w:t>
      </w:r>
      <w:r w:rsidR="00FC7764" w:rsidRPr="00FF5925">
        <w:rPr>
          <w:rFonts w:ascii="Times New Roman" w:hAnsi="Times New Roman" w:cs="Times New Roman"/>
        </w:rPr>
        <w:t>Department, Faculty of Medicine Cairo University</w:t>
      </w:r>
      <w:r>
        <w:rPr>
          <w:rFonts w:ascii="Times New Roman" w:hAnsi="Times New Roman" w:cs="Times New Roman"/>
        </w:rPr>
        <w:t xml:space="preserve"> </w:t>
      </w:r>
    </w:p>
    <w:p w:rsidR="003E1E80" w:rsidRDefault="00E00211" w:rsidP="00FC7764">
      <w:pPr>
        <w:bidi w:val="0"/>
        <w:spacing w:line="240" w:lineRule="auto"/>
        <w:rPr>
          <w:rFonts w:ascii="Times New Roman" w:hAnsi="Times New Roman" w:cs="Times New Roman"/>
        </w:rPr>
      </w:pPr>
      <w:r w:rsidRPr="00E00211">
        <w:rPr>
          <w:rFonts w:ascii="Times New Roman" w:hAnsi="Times New Roman" w:cs="Times New Roman"/>
          <w:vertAlign w:val="superscript"/>
        </w:rPr>
        <w:t>2</w:t>
      </w:r>
      <w:r>
        <w:rPr>
          <w:rFonts w:ascii="Times New Roman" w:hAnsi="Times New Roman" w:cs="Times New Roman"/>
        </w:rPr>
        <w:t xml:space="preserve"> </w:t>
      </w:r>
      <w:r w:rsidR="00FC7764" w:rsidRPr="00FF5925">
        <w:rPr>
          <w:rFonts w:ascii="Times New Roman" w:hAnsi="Times New Roman" w:cs="Times New Roman"/>
        </w:rPr>
        <w:t>Medical Biochemistry Department, Faculty of Medicine, Cairo University</w:t>
      </w:r>
    </w:p>
    <w:p w:rsidR="00C84BF7" w:rsidRPr="00C732B1" w:rsidRDefault="008A4046" w:rsidP="00F1771F">
      <w:pPr>
        <w:bidi w:val="0"/>
        <w:spacing w:line="360" w:lineRule="auto"/>
        <w:ind w:firstLine="720"/>
        <w:jc w:val="both"/>
        <w:rPr>
          <w:rFonts w:asciiTheme="minorBidi" w:eastAsiaTheme="minorEastAsia" w:hAnsiTheme="minorBidi"/>
        </w:rPr>
      </w:pPr>
      <w:r w:rsidRPr="00C732B1">
        <w:rPr>
          <w:rFonts w:asciiTheme="minorBidi" w:eastAsiaTheme="minorEastAsia" w:hAnsiTheme="minorBidi"/>
        </w:rPr>
        <w:t xml:space="preserve"> Aims</w:t>
      </w:r>
      <w:r w:rsidR="009A6F07" w:rsidRPr="00C732B1">
        <w:rPr>
          <w:rFonts w:asciiTheme="minorBidi" w:hAnsiTheme="minorBidi"/>
        </w:rPr>
        <w:t>:</w:t>
      </w:r>
      <w:r w:rsidR="00E76881" w:rsidRPr="00C732B1">
        <w:rPr>
          <w:rFonts w:asciiTheme="minorBidi" w:hAnsiTheme="minorBidi"/>
        </w:rPr>
        <w:t xml:space="preserve"> to evaluate serum FGF-21 concentrations in coronary</w:t>
      </w:r>
      <w:r w:rsidR="00E76881" w:rsidRPr="00C732B1">
        <w:rPr>
          <w:rFonts w:asciiTheme="minorBidi" w:eastAsia="Times New Roman" w:hAnsiTheme="minorBidi"/>
        </w:rPr>
        <w:t xml:space="preserve"> heart disease </w:t>
      </w:r>
      <w:r w:rsidR="00E76881" w:rsidRPr="00C732B1">
        <w:rPr>
          <w:rFonts w:asciiTheme="minorBidi" w:hAnsiTheme="minorBidi"/>
        </w:rPr>
        <w:t xml:space="preserve">patients </w:t>
      </w:r>
      <w:r w:rsidR="00E76881" w:rsidRPr="00C732B1">
        <w:rPr>
          <w:rFonts w:asciiTheme="minorBidi" w:eastAsia="Times New Roman" w:hAnsiTheme="minorBidi"/>
        </w:rPr>
        <w:t xml:space="preserve">(CHD) </w:t>
      </w:r>
      <w:r w:rsidR="00E76881" w:rsidRPr="00C732B1">
        <w:rPr>
          <w:rFonts w:asciiTheme="minorBidi" w:hAnsiTheme="minorBidi"/>
        </w:rPr>
        <w:t>whether or not associated</w:t>
      </w:r>
      <w:r w:rsidR="00E76881" w:rsidRPr="00C732B1">
        <w:rPr>
          <w:rFonts w:asciiTheme="minorBidi" w:eastAsia="Times New Roman" w:hAnsiTheme="minorBidi"/>
        </w:rPr>
        <w:t xml:space="preserve"> </w:t>
      </w:r>
      <w:r w:rsidR="00E76881" w:rsidRPr="00C732B1">
        <w:rPr>
          <w:rFonts w:asciiTheme="minorBidi" w:hAnsiTheme="minorBidi"/>
        </w:rPr>
        <w:t xml:space="preserve">with diabetes and \or hypertension. </w:t>
      </w:r>
      <w:r w:rsidR="00E76881" w:rsidRPr="00C732B1">
        <w:rPr>
          <w:rFonts w:asciiTheme="minorBidi" w:eastAsiaTheme="minorEastAsia" w:hAnsiTheme="minorBidi"/>
        </w:rPr>
        <w:t>It also investigated the possible association between serum FGF21 and the coronary angiographic findings in terms of number of coronary vessels affected</w:t>
      </w:r>
      <w:r w:rsidR="00C84BF7" w:rsidRPr="00C732B1">
        <w:rPr>
          <w:rFonts w:asciiTheme="minorBidi" w:eastAsiaTheme="minorEastAsia" w:hAnsiTheme="minorBidi"/>
        </w:rPr>
        <w:t>.</w:t>
      </w:r>
    </w:p>
    <w:p w:rsidR="009A6F07" w:rsidRPr="00C732B1" w:rsidRDefault="009A6F07" w:rsidP="009A6F07">
      <w:pPr>
        <w:bidi w:val="0"/>
        <w:spacing w:line="360" w:lineRule="auto"/>
        <w:ind w:firstLine="720"/>
        <w:jc w:val="both"/>
        <w:rPr>
          <w:rFonts w:asciiTheme="minorBidi" w:eastAsiaTheme="minorEastAsia" w:hAnsiTheme="minorBidi"/>
        </w:rPr>
      </w:pPr>
      <w:r w:rsidRPr="00C732B1">
        <w:rPr>
          <w:rFonts w:asciiTheme="minorBidi" w:eastAsiaTheme="minorEastAsia" w:hAnsiTheme="minorBidi"/>
        </w:rPr>
        <w:t xml:space="preserve">Study design: </w:t>
      </w:r>
      <w:r w:rsidR="008A4046" w:rsidRPr="00C732B1">
        <w:rPr>
          <w:rFonts w:asciiTheme="minorBidi" w:eastAsiaTheme="minorEastAsia" w:hAnsiTheme="minorBidi"/>
        </w:rPr>
        <w:t>cross-sectional observational comparative study</w:t>
      </w:r>
      <w:r w:rsidR="00903C73" w:rsidRPr="00C732B1">
        <w:rPr>
          <w:rFonts w:asciiTheme="minorBidi" w:eastAsiaTheme="minorEastAsia" w:hAnsiTheme="minorBidi"/>
        </w:rPr>
        <w:t>.</w:t>
      </w:r>
    </w:p>
    <w:p w:rsidR="00903C73" w:rsidRPr="00C732B1" w:rsidRDefault="00903C73" w:rsidP="00DB4D35">
      <w:pPr>
        <w:bidi w:val="0"/>
        <w:spacing w:line="360" w:lineRule="auto"/>
        <w:ind w:firstLine="720"/>
        <w:jc w:val="both"/>
        <w:rPr>
          <w:rFonts w:asciiTheme="minorBidi" w:eastAsiaTheme="minorEastAsia" w:hAnsiTheme="minorBidi"/>
        </w:rPr>
      </w:pPr>
      <w:r w:rsidRPr="00C732B1">
        <w:rPr>
          <w:rFonts w:ascii="Arial" w:eastAsia="Calibri" w:hAnsi="Arial" w:cs="Arial"/>
        </w:rPr>
        <w:t>Place and Duration of Study</w:t>
      </w:r>
      <w:r w:rsidRPr="00C732B1">
        <w:rPr>
          <w:rFonts w:asciiTheme="minorBidi" w:eastAsiaTheme="minorEastAsia" w:hAnsiTheme="minorBidi"/>
        </w:rPr>
        <w:t xml:space="preserve">: </w:t>
      </w:r>
      <w:r w:rsidR="00DB4D35" w:rsidRPr="00C732B1">
        <w:rPr>
          <w:rFonts w:asciiTheme="minorBidi" w:eastAsiaTheme="minorEastAsia" w:hAnsiTheme="minorBidi"/>
        </w:rPr>
        <w:t xml:space="preserve">coronary angiography unit at the Critical Care Department with Biochemistry Department </w:t>
      </w:r>
      <w:r w:rsidRPr="00C732B1">
        <w:rPr>
          <w:rFonts w:asciiTheme="minorBidi" w:eastAsiaTheme="minorEastAsia" w:hAnsiTheme="minorBidi"/>
        </w:rPr>
        <w:t>, Kasr Al Aini Medical Hospital</w:t>
      </w:r>
      <w:r w:rsidR="00591672" w:rsidRPr="00C732B1">
        <w:rPr>
          <w:rFonts w:asciiTheme="minorBidi" w:eastAsiaTheme="minorEastAsia" w:hAnsiTheme="minorBidi"/>
        </w:rPr>
        <w:t>s</w:t>
      </w:r>
      <w:r w:rsidR="00DB4D35" w:rsidRPr="00C732B1">
        <w:rPr>
          <w:rFonts w:asciiTheme="minorBidi" w:eastAsiaTheme="minorEastAsia" w:hAnsiTheme="minorBidi"/>
        </w:rPr>
        <w:t>, between</w:t>
      </w:r>
      <w:r w:rsidR="00591672" w:rsidRPr="00C732B1">
        <w:rPr>
          <w:rFonts w:asciiTheme="minorBidi" w:eastAsiaTheme="minorEastAsia" w:hAnsiTheme="minorBidi"/>
        </w:rPr>
        <w:t xml:space="preserve"> January 2013 to March 2014.</w:t>
      </w:r>
    </w:p>
    <w:p w:rsidR="00C84BF7" w:rsidRPr="00C732B1" w:rsidRDefault="00C84BF7" w:rsidP="00BB6D84">
      <w:pPr>
        <w:bidi w:val="0"/>
        <w:spacing w:line="360" w:lineRule="auto"/>
        <w:jc w:val="both"/>
        <w:rPr>
          <w:rFonts w:asciiTheme="minorBidi" w:eastAsiaTheme="minorEastAsia" w:hAnsiTheme="minorBidi"/>
        </w:rPr>
      </w:pPr>
      <w:r w:rsidRPr="00C732B1">
        <w:rPr>
          <w:rFonts w:asciiTheme="minorBidi" w:eastAsiaTheme="minorEastAsia" w:hAnsiTheme="minorBidi"/>
        </w:rPr>
        <w:t>Methods: Seventy patient</w:t>
      </w:r>
      <w:r w:rsidR="00BB4067" w:rsidRPr="00C732B1">
        <w:rPr>
          <w:rFonts w:asciiTheme="minorBidi" w:eastAsiaTheme="minorEastAsia" w:hAnsiTheme="minorBidi"/>
        </w:rPr>
        <w:t xml:space="preserve">s </w:t>
      </w:r>
      <w:r w:rsidR="00903C73" w:rsidRPr="00C732B1">
        <w:rPr>
          <w:rFonts w:asciiTheme="minorBidi" w:eastAsiaTheme="minorEastAsia" w:hAnsiTheme="minorBidi"/>
        </w:rPr>
        <w:t xml:space="preserve">(47 Males and 23 females) </w:t>
      </w:r>
      <w:r w:rsidR="00E76881" w:rsidRPr="00C732B1">
        <w:rPr>
          <w:rFonts w:asciiTheme="minorBidi" w:eastAsiaTheme="minorEastAsia" w:hAnsiTheme="minorBidi"/>
        </w:rPr>
        <w:t xml:space="preserve">were classified after coronary angiography into: </w:t>
      </w:r>
      <w:r w:rsidRPr="00C732B1">
        <w:rPr>
          <w:rFonts w:asciiTheme="minorBidi" w:eastAsiaTheme="minorEastAsia" w:hAnsiTheme="minorBidi"/>
        </w:rPr>
        <w:t>Sub-group (A): Coronary Artery Disease patients without DM or hypertension; Sub-group (B): Coronary Artery Disease patients with DM and/or hype</w:t>
      </w:r>
      <w:r w:rsidR="008A4046" w:rsidRPr="00C732B1">
        <w:rPr>
          <w:rFonts w:asciiTheme="minorBidi" w:eastAsiaTheme="minorEastAsia" w:hAnsiTheme="minorBidi"/>
        </w:rPr>
        <w:t>rtension; Sub-group (C):  patients with</w:t>
      </w:r>
      <w:r w:rsidRPr="00C732B1">
        <w:rPr>
          <w:rFonts w:asciiTheme="minorBidi" w:eastAsiaTheme="minorEastAsia" w:hAnsiTheme="minorBidi"/>
        </w:rPr>
        <w:t xml:space="preserve"> normal angiography but </w:t>
      </w:r>
      <w:r w:rsidRPr="00C732B1">
        <w:rPr>
          <w:rFonts w:asciiTheme="minorBidi" w:eastAsia="Times New Roman" w:hAnsiTheme="minorBidi"/>
        </w:rPr>
        <w:t xml:space="preserve">suffering from DM and/ or hypertension. </w:t>
      </w:r>
      <w:r w:rsidR="00E76881" w:rsidRPr="00C732B1">
        <w:rPr>
          <w:rFonts w:asciiTheme="minorBidi" w:eastAsia="Times New Roman" w:hAnsiTheme="minorBidi"/>
        </w:rPr>
        <w:t>Twelve  apparently healthy individuals were als</w:t>
      </w:r>
      <w:r w:rsidR="008A4046" w:rsidRPr="00C732B1">
        <w:rPr>
          <w:rFonts w:asciiTheme="minorBidi" w:eastAsia="Times New Roman" w:hAnsiTheme="minorBidi"/>
        </w:rPr>
        <w:t>o included in the present study</w:t>
      </w:r>
      <w:r w:rsidR="008A4046" w:rsidRPr="00C732B1">
        <w:rPr>
          <w:rFonts w:asciiTheme="minorBidi" w:eastAsiaTheme="minorEastAsia" w:hAnsiTheme="minorBidi"/>
        </w:rPr>
        <w:t xml:space="preserve"> as a control group.</w:t>
      </w:r>
      <w:r w:rsidR="00BB6D84" w:rsidRPr="00C732B1">
        <w:rPr>
          <w:rFonts w:asciiTheme="minorBidi" w:eastAsiaTheme="minorEastAsia" w:hAnsiTheme="minorBidi"/>
        </w:rPr>
        <w:t xml:space="preserve"> </w:t>
      </w:r>
      <w:r w:rsidR="003C6F99" w:rsidRPr="00C732B1">
        <w:rPr>
          <w:rFonts w:asciiTheme="minorBidi" w:eastAsiaTheme="minorEastAsia" w:hAnsiTheme="minorBidi"/>
        </w:rPr>
        <w:t xml:space="preserve">Body Mass Index </w:t>
      </w:r>
      <w:r w:rsidR="00DB4D35" w:rsidRPr="00C732B1">
        <w:rPr>
          <w:rFonts w:asciiTheme="minorBidi" w:eastAsiaTheme="minorEastAsia" w:hAnsiTheme="minorBidi"/>
        </w:rPr>
        <w:t xml:space="preserve">(BMI) </w:t>
      </w:r>
      <w:r w:rsidR="003C6F99" w:rsidRPr="00C732B1">
        <w:rPr>
          <w:rFonts w:asciiTheme="minorBidi" w:eastAsiaTheme="minorEastAsia" w:hAnsiTheme="minorBidi"/>
        </w:rPr>
        <w:t xml:space="preserve">were matched for all groups, systolic and diastolic blood </w:t>
      </w:r>
      <w:r w:rsidR="00DB4D35" w:rsidRPr="00C732B1">
        <w:rPr>
          <w:rFonts w:asciiTheme="minorBidi" w:eastAsiaTheme="minorEastAsia" w:hAnsiTheme="minorBidi"/>
        </w:rPr>
        <w:t>pressure (SBP&amp;DBP) and f</w:t>
      </w:r>
      <w:r w:rsidR="00BB6D84" w:rsidRPr="00C732B1">
        <w:rPr>
          <w:rFonts w:asciiTheme="minorBidi" w:eastAsiaTheme="minorEastAsia" w:hAnsiTheme="minorBidi"/>
        </w:rPr>
        <w:t>asting serum levels of FGF21, glucose, insulin and lipid profile were estimated.</w:t>
      </w:r>
    </w:p>
    <w:p w:rsidR="00BB6D84" w:rsidRPr="00C732B1" w:rsidRDefault="00C84BF7" w:rsidP="00174482">
      <w:pPr>
        <w:shd w:val="clear" w:color="auto" w:fill="FFFFFF"/>
        <w:bidi w:val="0"/>
        <w:spacing w:before="240" w:after="240" w:line="360" w:lineRule="auto"/>
        <w:jc w:val="both"/>
        <w:rPr>
          <w:rFonts w:asciiTheme="minorBidi" w:eastAsiaTheme="minorEastAsia" w:hAnsiTheme="minorBidi"/>
        </w:rPr>
      </w:pPr>
      <w:r w:rsidRPr="00C732B1">
        <w:rPr>
          <w:rFonts w:asciiTheme="minorBidi" w:eastAsia="Times New Roman" w:hAnsiTheme="minorBidi"/>
        </w:rPr>
        <w:t>Results</w:t>
      </w:r>
      <w:r w:rsidR="00903C73" w:rsidRPr="00C732B1">
        <w:rPr>
          <w:rFonts w:asciiTheme="minorBidi" w:eastAsia="Times New Roman" w:hAnsiTheme="minorBidi"/>
        </w:rPr>
        <w:t>:</w:t>
      </w:r>
      <w:r w:rsidRPr="00C732B1">
        <w:rPr>
          <w:rFonts w:asciiTheme="minorBidi" w:eastAsia="Times New Roman" w:hAnsiTheme="minorBidi"/>
        </w:rPr>
        <w:t xml:space="preserve"> </w:t>
      </w:r>
      <w:r w:rsidR="00ED6153" w:rsidRPr="00C732B1">
        <w:rPr>
          <w:rFonts w:asciiTheme="minorBidi" w:eastAsiaTheme="minorEastAsia" w:hAnsiTheme="minorBidi"/>
        </w:rPr>
        <w:t xml:space="preserve">A significant increase in the levels of FGF-21 was detected in </w:t>
      </w:r>
      <w:r w:rsidR="00F8154C" w:rsidRPr="00C732B1">
        <w:rPr>
          <w:rFonts w:asciiTheme="minorBidi" w:eastAsiaTheme="minorEastAsia" w:hAnsiTheme="minorBidi"/>
        </w:rPr>
        <w:t>CHD patients</w:t>
      </w:r>
      <w:r w:rsidR="009F7B0E" w:rsidRPr="00C732B1">
        <w:rPr>
          <w:rFonts w:asciiTheme="minorBidi" w:eastAsiaTheme="minorEastAsia" w:hAnsiTheme="minorBidi"/>
        </w:rPr>
        <w:t xml:space="preserve"> compared to control group (325.8 ± 129.2 Vs 202.2 ± 65.8, P-value=0.002)      and significant increase was also found in those</w:t>
      </w:r>
      <w:r w:rsidR="00F8154C" w:rsidRPr="00C732B1">
        <w:rPr>
          <w:rFonts w:asciiTheme="minorBidi" w:eastAsiaTheme="minorEastAsia" w:hAnsiTheme="minorBidi"/>
        </w:rPr>
        <w:t xml:space="preserve"> with</w:t>
      </w:r>
      <w:r w:rsidR="00ED6153" w:rsidRPr="00C732B1">
        <w:rPr>
          <w:rFonts w:asciiTheme="minorBidi" w:eastAsiaTheme="minorEastAsia" w:hAnsiTheme="minorBidi"/>
        </w:rPr>
        <w:t xml:space="preserve"> multi-vessel </w:t>
      </w:r>
      <w:r w:rsidR="009F7B0E" w:rsidRPr="00C732B1">
        <w:rPr>
          <w:rFonts w:asciiTheme="minorBidi" w:eastAsiaTheme="minorEastAsia" w:hAnsiTheme="minorBidi"/>
        </w:rPr>
        <w:t xml:space="preserve">disease </w:t>
      </w:r>
      <w:r w:rsidR="00ED6153" w:rsidRPr="00C732B1">
        <w:rPr>
          <w:rFonts w:asciiTheme="minorBidi" w:eastAsiaTheme="minorEastAsia" w:hAnsiTheme="minorBidi"/>
        </w:rPr>
        <w:t>affection c</w:t>
      </w:r>
      <w:r w:rsidR="00F8154C" w:rsidRPr="00C732B1">
        <w:rPr>
          <w:rFonts w:asciiTheme="minorBidi" w:eastAsiaTheme="minorEastAsia" w:hAnsiTheme="minorBidi"/>
        </w:rPr>
        <w:t>ompared to those with</w:t>
      </w:r>
      <w:r w:rsidR="00ED6153" w:rsidRPr="00C732B1">
        <w:rPr>
          <w:rFonts w:asciiTheme="minorBidi" w:eastAsiaTheme="minorEastAsia" w:hAnsiTheme="minorBidi"/>
        </w:rPr>
        <w:t xml:space="preserve"> one-ves</w:t>
      </w:r>
      <w:r w:rsidR="00F8154C" w:rsidRPr="00C732B1">
        <w:rPr>
          <w:rFonts w:asciiTheme="minorBidi" w:eastAsiaTheme="minorEastAsia" w:hAnsiTheme="minorBidi"/>
        </w:rPr>
        <w:t>sel affection</w:t>
      </w:r>
      <w:r w:rsidR="00ED6153" w:rsidRPr="00C732B1">
        <w:rPr>
          <w:rFonts w:asciiTheme="minorBidi" w:eastAsiaTheme="minorEastAsia" w:hAnsiTheme="minorBidi"/>
        </w:rPr>
        <w:t xml:space="preserve"> group (</w:t>
      </w:r>
      <w:r w:rsidR="00F8154C" w:rsidRPr="00C732B1">
        <w:rPr>
          <w:rFonts w:asciiTheme="minorBidi" w:eastAsiaTheme="minorEastAsia" w:hAnsiTheme="minorBidi"/>
        </w:rPr>
        <w:t>392.1 ± 140.4 Vs</w:t>
      </w:r>
      <w:r w:rsidR="009F7B0E" w:rsidRPr="00C732B1">
        <w:rPr>
          <w:rFonts w:asciiTheme="minorBidi" w:eastAsiaTheme="minorEastAsia" w:hAnsiTheme="minorBidi"/>
        </w:rPr>
        <w:t xml:space="preserve"> 250.7± 83.8,</w:t>
      </w:r>
      <w:r w:rsidR="00F8154C" w:rsidRPr="00C732B1">
        <w:rPr>
          <w:rFonts w:asciiTheme="minorBidi" w:eastAsiaTheme="minorEastAsia" w:hAnsiTheme="minorBidi"/>
        </w:rPr>
        <w:t xml:space="preserve"> P-value=0.007)</w:t>
      </w:r>
      <w:r w:rsidR="009F7B0E" w:rsidRPr="00C732B1">
        <w:rPr>
          <w:rFonts w:asciiTheme="minorBidi" w:eastAsiaTheme="minorEastAsia" w:hAnsiTheme="minorBidi"/>
        </w:rPr>
        <w:t>,</w:t>
      </w:r>
      <w:r w:rsidR="00C6402C" w:rsidRPr="00C732B1">
        <w:rPr>
          <w:rFonts w:asciiTheme="minorBidi" w:eastAsiaTheme="minorEastAsia" w:hAnsiTheme="minorBidi"/>
        </w:rPr>
        <w:t xml:space="preserve"> There was a highly significant positive correlation between serum levels of FGF-21 and each of BMI (r=0.7, p </w:t>
      </w:r>
      <w:r w:rsidR="00C6402C" w:rsidRPr="00C732B1">
        <w:rPr>
          <w:rFonts w:asciiTheme="minorBidi" w:eastAsiaTheme="minorEastAsia" w:hAnsiTheme="minorBidi"/>
          <w:rtl/>
          <w:lang w:bidi="ar-EG"/>
        </w:rPr>
        <w:t>&gt;</w:t>
      </w:r>
      <w:r w:rsidR="00C6402C" w:rsidRPr="00C732B1">
        <w:rPr>
          <w:rFonts w:asciiTheme="minorBidi" w:eastAsiaTheme="minorEastAsia" w:hAnsiTheme="minorBidi"/>
        </w:rPr>
        <w:t xml:space="preserve"> 0.001), SBP(r=0.63, p </w:t>
      </w:r>
      <w:r w:rsidR="00C6402C" w:rsidRPr="00C732B1">
        <w:rPr>
          <w:rFonts w:asciiTheme="minorBidi" w:eastAsiaTheme="minorEastAsia" w:hAnsiTheme="minorBidi"/>
          <w:rtl/>
          <w:lang w:bidi="ar-EG"/>
        </w:rPr>
        <w:t>&gt;</w:t>
      </w:r>
      <w:r w:rsidR="00C6402C" w:rsidRPr="00C732B1">
        <w:rPr>
          <w:rFonts w:asciiTheme="minorBidi" w:eastAsiaTheme="minorEastAsia" w:hAnsiTheme="minorBidi"/>
        </w:rPr>
        <w:t xml:space="preserve"> 0.001), and DBP (r=0.67, p </w:t>
      </w:r>
      <w:r w:rsidR="00C6402C" w:rsidRPr="00C732B1">
        <w:rPr>
          <w:rFonts w:asciiTheme="minorBidi" w:eastAsiaTheme="minorEastAsia" w:hAnsiTheme="minorBidi"/>
          <w:rtl/>
          <w:lang w:bidi="ar-EG"/>
        </w:rPr>
        <w:t>&gt;</w:t>
      </w:r>
      <w:r w:rsidR="00C6402C" w:rsidRPr="00C732B1">
        <w:rPr>
          <w:rFonts w:asciiTheme="minorBidi" w:eastAsiaTheme="minorEastAsia" w:hAnsiTheme="minorBidi"/>
        </w:rPr>
        <w:t xml:space="preserve"> 0.001). ROC curve analysis indicated that the optimum cut off value for plasma FGF 21 level in patients with CHD versus control was 236 pg/m</w:t>
      </w:r>
      <w:r w:rsidR="00174482" w:rsidRPr="00C732B1">
        <w:rPr>
          <w:rFonts w:asciiTheme="minorBidi" w:eastAsiaTheme="minorEastAsia" w:hAnsiTheme="minorBidi"/>
        </w:rPr>
        <w:t>l</w:t>
      </w:r>
      <w:r w:rsidR="00C6402C" w:rsidRPr="00C732B1">
        <w:rPr>
          <w:rFonts w:asciiTheme="minorBidi" w:eastAsiaTheme="minorEastAsia" w:hAnsiTheme="minorBidi"/>
          <w:i/>
          <w:iCs/>
        </w:rPr>
        <w:t xml:space="preserve"> </w:t>
      </w:r>
      <w:r w:rsidR="00C6402C" w:rsidRPr="00C732B1">
        <w:rPr>
          <w:rFonts w:asciiTheme="minorBidi" w:eastAsiaTheme="minorEastAsia" w:hAnsiTheme="minorBidi"/>
        </w:rPr>
        <w:t>which gives 68.33% sensitivity and 75% specificity.</w:t>
      </w:r>
    </w:p>
    <w:p w:rsidR="00C84BF7" w:rsidRPr="00C732B1" w:rsidRDefault="000427E1" w:rsidP="00174482">
      <w:pPr>
        <w:shd w:val="clear" w:color="auto" w:fill="FFFFFF"/>
        <w:bidi w:val="0"/>
        <w:spacing w:before="240" w:after="240" w:line="360" w:lineRule="auto"/>
        <w:jc w:val="both"/>
        <w:rPr>
          <w:rFonts w:asciiTheme="minorBidi" w:eastAsiaTheme="minorEastAsia" w:hAnsiTheme="minorBidi"/>
        </w:rPr>
      </w:pPr>
      <w:r w:rsidRPr="00C732B1">
        <w:rPr>
          <w:rFonts w:asciiTheme="minorBidi" w:eastAsia="Times New Roman" w:hAnsiTheme="minorBidi"/>
        </w:rPr>
        <w:lastRenderedPageBreak/>
        <w:t xml:space="preserve"> </w:t>
      </w:r>
      <w:r w:rsidR="00C6402C" w:rsidRPr="00C732B1">
        <w:rPr>
          <w:rFonts w:asciiTheme="minorBidi" w:eastAsiaTheme="minorEastAsia" w:hAnsiTheme="minorBidi"/>
          <w:lang w:bidi="ar-EG"/>
        </w:rPr>
        <w:t>C</w:t>
      </w:r>
      <w:r w:rsidR="00C84BF7" w:rsidRPr="00C732B1">
        <w:rPr>
          <w:rFonts w:asciiTheme="minorBidi" w:eastAsiaTheme="minorEastAsia" w:hAnsiTheme="minorBidi"/>
          <w:lang w:bidi="ar-EG"/>
        </w:rPr>
        <w:t>onclusion:</w:t>
      </w:r>
      <w:r w:rsidR="00C84BF7" w:rsidRPr="00C732B1">
        <w:rPr>
          <w:rFonts w:asciiTheme="minorBidi" w:eastAsiaTheme="minorEastAsia" w:hAnsiTheme="minorBidi"/>
        </w:rPr>
        <w:t xml:space="preserve"> </w:t>
      </w:r>
      <w:r w:rsidR="00174482" w:rsidRPr="00C732B1">
        <w:rPr>
          <w:rFonts w:asciiTheme="minorBidi" w:eastAsiaTheme="minorEastAsia" w:hAnsiTheme="minorBidi"/>
        </w:rPr>
        <w:t xml:space="preserve">circulating </w:t>
      </w:r>
      <w:r w:rsidR="00C84BF7" w:rsidRPr="00C732B1">
        <w:rPr>
          <w:rFonts w:asciiTheme="minorBidi" w:eastAsiaTheme="minorEastAsia" w:hAnsiTheme="minorBidi"/>
        </w:rPr>
        <w:t>FGF21</w:t>
      </w:r>
      <w:r w:rsidR="008A4046" w:rsidRPr="00C732B1">
        <w:rPr>
          <w:rFonts w:asciiTheme="minorBidi" w:eastAsiaTheme="minorEastAsia" w:hAnsiTheme="minorBidi"/>
        </w:rPr>
        <w:t xml:space="preserve"> level</w:t>
      </w:r>
      <w:r w:rsidR="00C84BF7" w:rsidRPr="00C732B1">
        <w:rPr>
          <w:rFonts w:asciiTheme="minorBidi" w:eastAsiaTheme="minorEastAsia" w:hAnsiTheme="minorBidi"/>
        </w:rPr>
        <w:t xml:space="preserve"> could be a biomarker for CHD and may be used to asses severity of CHD.</w:t>
      </w:r>
    </w:p>
    <w:p w:rsidR="00BB6D84" w:rsidRPr="00993112" w:rsidRDefault="001A0437" w:rsidP="00993112">
      <w:pPr>
        <w:bidi w:val="0"/>
        <w:spacing w:line="360" w:lineRule="auto"/>
        <w:jc w:val="both"/>
        <w:rPr>
          <w:rFonts w:asciiTheme="minorBidi" w:eastAsiaTheme="minorEastAsia" w:hAnsiTheme="minorBidi"/>
          <w:b/>
          <w:bCs/>
        </w:rPr>
      </w:pPr>
      <w:r w:rsidRPr="003D3CB7">
        <w:rPr>
          <w:rFonts w:asciiTheme="minorBidi" w:eastAsiaTheme="minorEastAsia" w:hAnsiTheme="minorBidi"/>
          <w:sz w:val="20"/>
          <w:szCs w:val="20"/>
        </w:rPr>
        <w:t xml:space="preserve">Keywords: </w:t>
      </w:r>
      <w:r w:rsidR="003D3CB7">
        <w:rPr>
          <w:rFonts w:asciiTheme="minorBidi" w:eastAsiaTheme="minorEastAsia" w:hAnsiTheme="minorBidi"/>
          <w:sz w:val="20"/>
          <w:szCs w:val="20"/>
        </w:rPr>
        <w:t>(</w:t>
      </w:r>
      <w:r w:rsidRPr="003D3CB7">
        <w:rPr>
          <w:rFonts w:asciiTheme="minorBidi" w:eastAsiaTheme="minorEastAsia" w:hAnsiTheme="minorBidi"/>
          <w:sz w:val="20"/>
          <w:szCs w:val="20"/>
        </w:rPr>
        <w:t xml:space="preserve">FGF 21, CHD, </w:t>
      </w:r>
      <w:r w:rsidR="00C52A2F" w:rsidRPr="003D3CB7">
        <w:rPr>
          <w:rFonts w:asciiTheme="minorBidi" w:eastAsiaTheme="minorEastAsia" w:hAnsiTheme="minorBidi"/>
          <w:sz w:val="20"/>
          <w:szCs w:val="20"/>
        </w:rPr>
        <w:t xml:space="preserve">BMI, </w:t>
      </w:r>
      <w:r w:rsidRPr="003D3CB7">
        <w:rPr>
          <w:rFonts w:asciiTheme="minorBidi" w:eastAsiaTheme="minorEastAsia" w:hAnsiTheme="minorBidi"/>
          <w:sz w:val="20"/>
          <w:szCs w:val="20"/>
        </w:rPr>
        <w:t>metabolic</w:t>
      </w:r>
      <w:r w:rsidRPr="003D3CB7">
        <w:rPr>
          <w:rFonts w:asciiTheme="minorBidi" w:eastAsiaTheme="minorEastAsia" w:hAnsiTheme="minorBidi"/>
          <w:b/>
          <w:bCs/>
          <w:sz w:val="20"/>
          <w:szCs w:val="20"/>
        </w:rPr>
        <w:t xml:space="preserve"> </w:t>
      </w:r>
      <w:r w:rsidRPr="003D3CB7">
        <w:rPr>
          <w:rFonts w:asciiTheme="minorBidi" w:eastAsiaTheme="minorEastAsia" w:hAnsiTheme="minorBidi"/>
          <w:sz w:val="20"/>
          <w:szCs w:val="20"/>
        </w:rPr>
        <w:t>syndrome and type 2 DM</w:t>
      </w:r>
      <w:r w:rsidR="003D3CB7">
        <w:rPr>
          <w:rFonts w:asciiTheme="minorBidi" w:eastAsiaTheme="minorEastAsia" w:hAnsiTheme="minorBidi"/>
          <w:sz w:val="20"/>
          <w:szCs w:val="20"/>
        </w:rPr>
        <w:t>)</w:t>
      </w:r>
      <w:r w:rsidR="003D3CB7">
        <w:rPr>
          <w:rFonts w:asciiTheme="minorBidi" w:eastAsiaTheme="minorEastAsia" w:hAnsiTheme="minorBidi"/>
          <w:b/>
          <w:bCs/>
          <w:sz w:val="20"/>
          <w:szCs w:val="20"/>
        </w:rPr>
        <w:t>.</w:t>
      </w:r>
    </w:p>
    <w:p w:rsidR="00B21E3B" w:rsidRPr="003D3CB7" w:rsidRDefault="003D3CB7" w:rsidP="00BB6D84">
      <w:pPr>
        <w:bidi w:val="0"/>
        <w:spacing w:line="360" w:lineRule="auto"/>
        <w:ind w:firstLine="720"/>
        <w:jc w:val="both"/>
        <w:rPr>
          <w:rFonts w:asciiTheme="minorBidi" w:eastAsiaTheme="minorEastAsia" w:hAnsiTheme="minorBidi"/>
          <w:b/>
          <w:bCs/>
          <w:sz w:val="24"/>
          <w:szCs w:val="24"/>
        </w:rPr>
      </w:pPr>
      <w:r w:rsidRPr="003D3CB7">
        <w:rPr>
          <w:rFonts w:asciiTheme="minorBidi" w:eastAsiaTheme="minorEastAsia" w:hAnsiTheme="minorBidi"/>
          <w:b/>
          <w:bCs/>
          <w:sz w:val="24"/>
          <w:szCs w:val="24"/>
        </w:rPr>
        <w:t>INTODUCTION</w:t>
      </w:r>
      <w:r w:rsidR="00B21E3B" w:rsidRPr="003D3CB7">
        <w:rPr>
          <w:rFonts w:asciiTheme="minorBidi" w:eastAsiaTheme="minorEastAsia" w:hAnsiTheme="minorBidi"/>
          <w:b/>
          <w:bCs/>
          <w:sz w:val="24"/>
          <w:szCs w:val="24"/>
        </w:rPr>
        <w:t>:</w:t>
      </w:r>
    </w:p>
    <w:p w:rsidR="00965961" w:rsidRPr="00C12880" w:rsidRDefault="00CA6554" w:rsidP="001E78EA">
      <w:pPr>
        <w:autoSpaceDE w:val="0"/>
        <w:autoSpaceDN w:val="0"/>
        <w:bidi w:val="0"/>
        <w:adjustRightInd w:val="0"/>
        <w:spacing w:after="0" w:line="360" w:lineRule="auto"/>
        <w:ind w:firstLine="720"/>
        <w:jc w:val="both"/>
        <w:rPr>
          <w:rFonts w:asciiTheme="minorBidi" w:hAnsiTheme="minorBidi"/>
          <w:sz w:val="20"/>
          <w:szCs w:val="20"/>
        </w:rPr>
      </w:pPr>
      <w:r w:rsidRPr="00C12880">
        <w:rPr>
          <w:rFonts w:asciiTheme="minorBidi" w:hAnsiTheme="minorBidi"/>
          <w:sz w:val="20"/>
          <w:szCs w:val="20"/>
        </w:rPr>
        <w:t xml:space="preserve">Fibroblast growth factor 21 (FGF21) is considered as a metabolic regulator that plays an important </w:t>
      </w:r>
      <w:r w:rsidR="001429A6" w:rsidRPr="00C12880">
        <w:rPr>
          <w:rFonts w:asciiTheme="minorBidi" w:hAnsiTheme="minorBidi"/>
          <w:sz w:val="20"/>
          <w:szCs w:val="20"/>
        </w:rPr>
        <w:t>endocrine role regarding</w:t>
      </w:r>
      <w:r w:rsidR="00CF5F57" w:rsidRPr="00C12880">
        <w:rPr>
          <w:rFonts w:asciiTheme="minorBidi" w:hAnsiTheme="minorBidi"/>
          <w:sz w:val="20"/>
          <w:szCs w:val="20"/>
        </w:rPr>
        <w:t xml:space="preserve"> insulin sensitivity and glucose </w:t>
      </w:r>
      <w:r w:rsidR="001429A6" w:rsidRPr="00C12880">
        <w:rPr>
          <w:rFonts w:asciiTheme="minorBidi" w:hAnsiTheme="minorBidi"/>
          <w:sz w:val="20"/>
          <w:szCs w:val="20"/>
        </w:rPr>
        <w:t>and lipid metabolism</w:t>
      </w:r>
      <w:r w:rsidR="001E78EA" w:rsidRPr="00C12880">
        <w:rPr>
          <w:rFonts w:asciiTheme="minorBidi" w:hAnsiTheme="minorBidi"/>
          <w:sz w:val="20"/>
          <w:szCs w:val="20"/>
        </w:rPr>
        <w:t>.[1]</w:t>
      </w:r>
      <w:r w:rsidR="00204EAB" w:rsidRPr="00C12880">
        <w:rPr>
          <w:rFonts w:asciiTheme="minorBidi" w:hAnsiTheme="minorBidi"/>
          <w:sz w:val="20"/>
          <w:szCs w:val="20"/>
        </w:rPr>
        <w:t xml:space="preserve">                  </w:t>
      </w:r>
      <w:r w:rsidR="001429A6" w:rsidRPr="00C12880">
        <w:rPr>
          <w:rFonts w:asciiTheme="minorBidi" w:hAnsiTheme="minorBidi"/>
          <w:sz w:val="20"/>
          <w:szCs w:val="20"/>
        </w:rPr>
        <w:t>Circulating levels of FGF-21 were</w:t>
      </w:r>
      <w:r w:rsidRPr="00C12880">
        <w:rPr>
          <w:rFonts w:asciiTheme="minorBidi" w:hAnsiTheme="minorBidi"/>
          <w:sz w:val="20"/>
          <w:szCs w:val="20"/>
        </w:rPr>
        <w:t xml:space="preserve"> found to increase in obese individuals </w:t>
      </w:r>
      <w:r w:rsidR="001429A6" w:rsidRPr="00C12880">
        <w:rPr>
          <w:rFonts w:asciiTheme="minorBidi" w:hAnsiTheme="minorBidi"/>
          <w:sz w:val="20"/>
          <w:szCs w:val="20"/>
        </w:rPr>
        <w:t xml:space="preserve"> with metabolic syndrome and</w:t>
      </w:r>
      <w:r w:rsidRPr="00C12880">
        <w:rPr>
          <w:rFonts w:asciiTheme="minorBidi" w:hAnsiTheme="minorBidi"/>
          <w:sz w:val="20"/>
          <w:szCs w:val="20"/>
        </w:rPr>
        <w:t xml:space="preserve"> type 2 DM. </w:t>
      </w:r>
      <w:r w:rsidR="001E78EA" w:rsidRPr="00C12880">
        <w:rPr>
          <w:rFonts w:asciiTheme="minorBidi" w:hAnsiTheme="minorBidi"/>
          <w:sz w:val="20"/>
          <w:szCs w:val="20"/>
        </w:rPr>
        <w:t>[2]</w:t>
      </w:r>
    </w:p>
    <w:p w:rsidR="00CA6554" w:rsidRPr="00C12880" w:rsidRDefault="00CA6554" w:rsidP="001E78EA">
      <w:pPr>
        <w:autoSpaceDE w:val="0"/>
        <w:autoSpaceDN w:val="0"/>
        <w:bidi w:val="0"/>
        <w:adjustRightInd w:val="0"/>
        <w:spacing w:after="0" w:line="360" w:lineRule="auto"/>
        <w:ind w:firstLine="720"/>
        <w:jc w:val="both"/>
        <w:rPr>
          <w:rFonts w:asciiTheme="minorBidi" w:hAnsiTheme="minorBidi"/>
          <w:sz w:val="20"/>
          <w:szCs w:val="20"/>
        </w:rPr>
      </w:pPr>
      <w:r w:rsidRPr="00C12880">
        <w:rPr>
          <w:rFonts w:asciiTheme="minorBidi" w:hAnsiTheme="minorBidi"/>
          <w:sz w:val="20"/>
          <w:szCs w:val="20"/>
        </w:rPr>
        <w:t>FGF-21 has been proposed as a potential therapeutic agent for type 2 diabetes in</w:t>
      </w:r>
      <w:r w:rsidR="004D153F" w:rsidRPr="00C12880">
        <w:rPr>
          <w:rFonts w:asciiTheme="minorBidi" w:hAnsiTheme="minorBidi"/>
          <w:sz w:val="20"/>
          <w:szCs w:val="20"/>
        </w:rPr>
        <w:t xml:space="preserve"> human</w:t>
      </w:r>
      <w:r w:rsidR="00965961" w:rsidRPr="00C12880">
        <w:rPr>
          <w:rFonts w:asciiTheme="minorBidi" w:hAnsiTheme="minorBidi"/>
          <w:sz w:val="20"/>
          <w:szCs w:val="20"/>
        </w:rPr>
        <w:t xml:space="preserve">s as it inhibits hepatic glycogen degradation, thus reducing levels of </w:t>
      </w:r>
      <w:r w:rsidR="00B90ACE">
        <w:rPr>
          <w:rFonts w:asciiTheme="minorBidi" w:hAnsiTheme="minorBidi"/>
          <w:sz w:val="20"/>
          <w:szCs w:val="20"/>
        </w:rPr>
        <w:t>circulating gluc</w:t>
      </w:r>
      <w:r w:rsidR="00965961" w:rsidRPr="00C12880">
        <w:rPr>
          <w:rFonts w:asciiTheme="minorBidi" w:hAnsiTheme="minorBidi"/>
          <w:sz w:val="20"/>
          <w:szCs w:val="20"/>
        </w:rPr>
        <w:t>agon.</w:t>
      </w:r>
      <w:r w:rsidR="00B90ACE">
        <w:rPr>
          <w:rFonts w:asciiTheme="minorBidi" w:hAnsiTheme="minorBidi"/>
          <w:sz w:val="20"/>
          <w:szCs w:val="20"/>
        </w:rPr>
        <w:t xml:space="preserve"> </w:t>
      </w:r>
      <w:r w:rsidR="00965961" w:rsidRPr="00C12880">
        <w:rPr>
          <w:rFonts w:asciiTheme="minorBidi" w:hAnsiTheme="minorBidi"/>
          <w:sz w:val="20"/>
          <w:szCs w:val="20"/>
        </w:rPr>
        <w:t xml:space="preserve"> FGF21-mediated effects leads to maintain normal physiologic control of blood glucose and  maintenance of the non-diabetic state.</w:t>
      </w:r>
      <w:r w:rsidRPr="00C12880">
        <w:rPr>
          <w:rFonts w:asciiTheme="minorBidi" w:hAnsiTheme="minorBidi"/>
          <w:sz w:val="20"/>
          <w:szCs w:val="20"/>
        </w:rPr>
        <w:t xml:space="preserve"> </w:t>
      </w:r>
      <w:r w:rsidR="001E78EA" w:rsidRPr="00C12880">
        <w:rPr>
          <w:rFonts w:asciiTheme="minorBidi" w:hAnsiTheme="minorBidi"/>
          <w:sz w:val="20"/>
          <w:szCs w:val="20"/>
        </w:rPr>
        <w:t xml:space="preserve">[3, </w:t>
      </w:r>
      <w:hyperlink r:id="rId8" w:anchor="B4" w:history="1">
        <w:r w:rsidR="001E78EA" w:rsidRPr="00C12880">
          <w:rPr>
            <w:rStyle w:val="Hyperlink"/>
            <w:rFonts w:asciiTheme="minorBidi" w:hAnsiTheme="minorBidi"/>
            <w:color w:val="auto"/>
            <w:sz w:val="20"/>
            <w:szCs w:val="20"/>
            <w:u w:val="none"/>
          </w:rPr>
          <w:t>4</w:t>
        </w:r>
      </w:hyperlink>
      <w:r w:rsidR="001E78EA" w:rsidRPr="00C12880">
        <w:rPr>
          <w:rFonts w:asciiTheme="minorBidi" w:hAnsiTheme="minorBidi"/>
          <w:sz w:val="20"/>
          <w:szCs w:val="20"/>
        </w:rPr>
        <w:t>]</w:t>
      </w:r>
    </w:p>
    <w:p w:rsidR="00CA6554" w:rsidRPr="00C12880" w:rsidRDefault="00CA6554" w:rsidP="001E78EA">
      <w:pPr>
        <w:autoSpaceDE w:val="0"/>
        <w:autoSpaceDN w:val="0"/>
        <w:bidi w:val="0"/>
        <w:adjustRightInd w:val="0"/>
        <w:spacing w:after="0" w:line="360" w:lineRule="auto"/>
        <w:ind w:firstLine="720"/>
        <w:jc w:val="both"/>
        <w:rPr>
          <w:rFonts w:asciiTheme="minorBidi" w:hAnsiTheme="minorBidi"/>
          <w:sz w:val="20"/>
          <w:szCs w:val="20"/>
        </w:rPr>
      </w:pPr>
      <w:r w:rsidRPr="00C12880">
        <w:rPr>
          <w:rFonts w:asciiTheme="minorBidi" w:hAnsiTheme="minorBidi"/>
          <w:sz w:val="20"/>
          <w:szCs w:val="20"/>
        </w:rPr>
        <w:t>Many studies reported significant relations between circulating serum levels of FGF21 and cardiovascular diseases such as</w:t>
      </w:r>
      <w:r w:rsidR="001429A6" w:rsidRPr="00C12880">
        <w:rPr>
          <w:rFonts w:asciiTheme="minorBidi" w:hAnsiTheme="minorBidi"/>
          <w:sz w:val="20"/>
          <w:szCs w:val="20"/>
        </w:rPr>
        <w:t xml:space="preserve"> myocardial hypertrophy, </w:t>
      </w:r>
      <w:r w:rsidR="00B90ACE">
        <w:rPr>
          <w:rFonts w:asciiTheme="minorBidi" w:hAnsiTheme="minorBidi"/>
          <w:sz w:val="20"/>
          <w:szCs w:val="20"/>
        </w:rPr>
        <w:t>coronary atherosclerosis and</w:t>
      </w:r>
      <w:r w:rsidRPr="00C12880">
        <w:rPr>
          <w:rFonts w:asciiTheme="minorBidi" w:hAnsiTheme="minorBidi"/>
          <w:sz w:val="20"/>
          <w:szCs w:val="20"/>
        </w:rPr>
        <w:t xml:space="preserve"> acute myocardial infarction AMI</w:t>
      </w:r>
      <w:r w:rsidR="001429A6" w:rsidRPr="00C12880">
        <w:rPr>
          <w:rFonts w:asciiTheme="minorBidi" w:hAnsiTheme="minorBidi"/>
          <w:sz w:val="20"/>
          <w:szCs w:val="20"/>
        </w:rPr>
        <w:t>.</w:t>
      </w:r>
      <w:r w:rsidRPr="00C12880">
        <w:rPr>
          <w:rFonts w:asciiTheme="minorBidi" w:hAnsiTheme="minorBidi"/>
          <w:sz w:val="20"/>
          <w:szCs w:val="20"/>
        </w:rPr>
        <w:t xml:space="preserve"> </w:t>
      </w:r>
      <w:r w:rsidR="001E78EA" w:rsidRPr="00C12880">
        <w:rPr>
          <w:rFonts w:asciiTheme="minorBidi" w:hAnsiTheme="minorBidi"/>
          <w:sz w:val="20"/>
          <w:szCs w:val="20"/>
        </w:rPr>
        <w:t>[5,</w:t>
      </w:r>
      <w:r w:rsidR="00B90ACE">
        <w:rPr>
          <w:rFonts w:asciiTheme="minorBidi" w:hAnsiTheme="minorBidi"/>
          <w:sz w:val="20"/>
          <w:szCs w:val="20"/>
        </w:rPr>
        <w:t xml:space="preserve"> </w:t>
      </w:r>
      <w:r w:rsidR="001E78EA" w:rsidRPr="00C12880">
        <w:rPr>
          <w:rFonts w:asciiTheme="minorBidi" w:hAnsiTheme="minorBidi"/>
          <w:sz w:val="20"/>
          <w:szCs w:val="20"/>
        </w:rPr>
        <w:t xml:space="preserve">6] </w:t>
      </w:r>
      <w:r w:rsidR="00204EAB" w:rsidRPr="00C12880">
        <w:rPr>
          <w:rFonts w:asciiTheme="minorBidi" w:hAnsiTheme="minorBidi"/>
          <w:sz w:val="20"/>
          <w:szCs w:val="20"/>
        </w:rPr>
        <w:t>and its level was</w:t>
      </w:r>
      <w:r w:rsidR="00A86CFE" w:rsidRPr="00C12880">
        <w:rPr>
          <w:rFonts w:asciiTheme="minorBidi" w:hAnsiTheme="minorBidi"/>
          <w:sz w:val="20"/>
          <w:szCs w:val="20"/>
        </w:rPr>
        <w:t xml:space="preserve"> also associated with thickness of carotid plaques. </w:t>
      </w:r>
      <w:r w:rsidR="001E78EA" w:rsidRPr="00C12880">
        <w:rPr>
          <w:rFonts w:asciiTheme="minorBidi" w:hAnsiTheme="minorBidi"/>
          <w:sz w:val="20"/>
          <w:szCs w:val="20"/>
        </w:rPr>
        <w:t>[7]</w:t>
      </w:r>
    </w:p>
    <w:p w:rsidR="00CA6554" w:rsidRPr="00C12880" w:rsidRDefault="002D2D82" w:rsidP="002D2D82">
      <w:pPr>
        <w:autoSpaceDE w:val="0"/>
        <w:autoSpaceDN w:val="0"/>
        <w:bidi w:val="0"/>
        <w:adjustRightInd w:val="0"/>
        <w:spacing w:after="0" w:line="360" w:lineRule="auto"/>
        <w:ind w:firstLine="720"/>
        <w:jc w:val="both"/>
        <w:rPr>
          <w:rFonts w:asciiTheme="minorBidi" w:hAnsiTheme="minorBidi"/>
          <w:sz w:val="20"/>
          <w:szCs w:val="20"/>
        </w:rPr>
      </w:pPr>
      <w:r w:rsidRPr="00C12880">
        <w:rPr>
          <w:rFonts w:asciiTheme="minorBidi" w:hAnsiTheme="minorBidi"/>
          <w:sz w:val="20"/>
          <w:szCs w:val="20"/>
        </w:rPr>
        <w:t>A</w:t>
      </w:r>
      <w:r w:rsidR="006A1A90" w:rsidRPr="00C12880">
        <w:rPr>
          <w:rFonts w:asciiTheme="minorBidi" w:hAnsiTheme="minorBidi"/>
          <w:sz w:val="20"/>
          <w:szCs w:val="20"/>
        </w:rPr>
        <w:t>ll previous research studied</w:t>
      </w:r>
      <w:r w:rsidRPr="00C12880">
        <w:rPr>
          <w:rFonts w:asciiTheme="minorBidi" w:hAnsiTheme="minorBidi"/>
          <w:sz w:val="20"/>
          <w:szCs w:val="20"/>
        </w:rPr>
        <w:t xml:space="preserve"> the direct relat</w:t>
      </w:r>
      <w:r w:rsidR="00B90ACE">
        <w:rPr>
          <w:rFonts w:asciiTheme="minorBidi" w:hAnsiTheme="minorBidi"/>
          <w:sz w:val="20"/>
          <w:szCs w:val="20"/>
        </w:rPr>
        <w:t>ion of FGF21 as a marker in CHD</w:t>
      </w:r>
      <w:r w:rsidR="00CA6554" w:rsidRPr="00C12880">
        <w:rPr>
          <w:rFonts w:asciiTheme="minorBidi" w:hAnsiTheme="minorBidi"/>
          <w:sz w:val="20"/>
          <w:szCs w:val="20"/>
        </w:rPr>
        <w:t xml:space="preserve"> but they </w:t>
      </w:r>
      <w:r w:rsidR="006A1A90" w:rsidRPr="00C12880">
        <w:rPr>
          <w:rFonts w:asciiTheme="minorBidi" w:hAnsiTheme="minorBidi"/>
          <w:sz w:val="20"/>
          <w:szCs w:val="20"/>
        </w:rPr>
        <w:t>didn’t attribute</w:t>
      </w:r>
      <w:r w:rsidR="00CA6554" w:rsidRPr="00C12880">
        <w:rPr>
          <w:rFonts w:asciiTheme="minorBidi" w:hAnsiTheme="minorBidi"/>
          <w:sz w:val="20"/>
          <w:szCs w:val="20"/>
        </w:rPr>
        <w:t xml:space="preserve"> FGF21 level in </w:t>
      </w:r>
      <w:r w:rsidR="001429A6" w:rsidRPr="00C12880">
        <w:rPr>
          <w:rFonts w:asciiTheme="minorBidi" w:hAnsiTheme="minorBidi"/>
          <w:sz w:val="20"/>
          <w:szCs w:val="20"/>
        </w:rPr>
        <w:t xml:space="preserve">relation to </w:t>
      </w:r>
      <w:r w:rsidR="006A1A90" w:rsidRPr="00C12880">
        <w:rPr>
          <w:rFonts w:asciiTheme="minorBidi" w:hAnsiTheme="minorBidi"/>
          <w:sz w:val="20"/>
          <w:szCs w:val="20"/>
        </w:rPr>
        <w:t xml:space="preserve">severity of lesions in </w:t>
      </w:r>
      <w:r w:rsidR="001429A6" w:rsidRPr="00C12880">
        <w:rPr>
          <w:rFonts w:asciiTheme="minorBidi" w:hAnsiTheme="minorBidi"/>
          <w:sz w:val="20"/>
          <w:szCs w:val="20"/>
        </w:rPr>
        <w:t>coronary artery disease CA</w:t>
      </w:r>
      <w:r w:rsidR="006A1A90" w:rsidRPr="00C12880">
        <w:rPr>
          <w:rFonts w:asciiTheme="minorBidi" w:hAnsiTheme="minorBidi"/>
          <w:sz w:val="20"/>
          <w:szCs w:val="20"/>
        </w:rPr>
        <w:t>D</w:t>
      </w:r>
      <w:r w:rsidR="008F0BAC" w:rsidRPr="00C12880">
        <w:rPr>
          <w:rFonts w:asciiTheme="minorBidi" w:hAnsiTheme="minorBidi"/>
          <w:sz w:val="20"/>
          <w:szCs w:val="20"/>
        </w:rPr>
        <w:t>.</w:t>
      </w:r>
    </w:p>
    <w:p w:rsidR="002908AF" w:rsidRPr="00C12880" w:rsidRDefault="002908AF" w:rsidP="00C567D2">
      <w:pPr>
        <w:autoSpaceDE w:val="0"/>
        <w:autoSpaceDN w:val="0"/>
        <w:bidi w:val="0"/>
        <w:adjustRightInd w:val="0"/>
        <w:spacing w:after="0" w:line="240" w:lineRule="auto"/>
        <w:rPr>
          <w:rFonts w:asciiTheme="minorBidi" w:hAnsiTheme="minorBidi"/>
          <w:sz w:val="20"/>
          <w:szCs w:val="20"/>
        </w:rPr>
      </w:pPr>
    </w:p>
    <w:p w:rsidR="002908AF" w:rsidRPr="00C12880" w:rsidRDefault="002908AF" w:rsidP="00C567D2">
      <w:pPr>
        <w:bidi w:val="0"/>
        <w:spacing w:after="0" w:line="360" w:lineRule="auto"/>
        <w:rPr>
          <w:rFonts w:asciiTheme="minorBidi" w:hAnsiTheme="minorBidi"/>
          <w:b/>
          <w:bCs/>
          <w:sz w:val="20"/>
          <w:szCs w:val="20"/>
        </w:rPr>
      </w:pPr>
      <w:r w:rsidRPr="00C12880">
        <w:rPr>
          <w:rFonts w:asciiTheme="minorBidi" w:hAnsiTheme="minorBidi"/>
          <w:b/>
          <w:bCs/>
          <w:sz w:val="20"/>
          <w:szCs w:val="20"/>
        </w:rPr>
        <w:t>Aim of the work</w:t>
      </w:r>
      <w:r w:rsidR="00B21E3B" w:rsidRPr="00C12880">
        <w:rPr>
          <w:rFonts w:asciiTheme="minorBidi" w:hAnsiTheme="minorBidi"/>
          <w:b/>
          <w:bCs/>
          <w:sz w:val="20"/>
          <w:szCs w:val="20"/>
        </w:rPr>
        <w:t>:</w:t>
      </w:r>
    </w:p>
    <w:p w:rsidR="002908AF" w:rsidRPr="00C12880" w:rsidRDefault="00903C73" w:rsidP="00886584">
      <w:pPr>
        <w:autoSpaceDE w:val="0"/>
        <w:autoSpaceDN w:val="0"/>
        <w:bidi w:val="0"/>
        <w:adjustRightInd w:val="0"/>
        <w:spacing w:after="0" w:line="360" w:lineRule="auto"/>
        <w:ind w:firstLine="720"/>
        <w:jc w:val="both"/>
        <w:rPr>
          <w:rFonts w:asciiTheme="minorBidi" w:hAnsiTheme="minorBidi"/>
          <w:sz w:val="20"/>
          <w:szCs w:val="20"/>
        </w:rPr>
      </w:pPr>
      <w:r w:rsidRPr="00C12880">
        <w:rPr>
          <w:rFonts w:asciiTheme="minorBidi" w:hAnsiTheme="minorBidi"/>
          <w:sz w:val="20"/>
          <w:szCs w:val="20"/>
        </w:rPr>
        <w:t>The present work aimed</w:t>
      </w:r>
      <w:r w:rsidR="002908AF" w:rsidRPr="00C12880">
        <w:rPr>
          <w:rFonts w:asciiTheme="minorBidi" w:hAnsiTheme="minorBidi"/>
          <w:sz w:val="20"/>
          <w:szCs w:val="20"/>
        </w:rPr>
        <w:t xml:space="preserve"> to evaluate serum FGF-21 concentrations in coronary heart disease patients (CHD) (assessed by coronary angiography), whether or not associated with diabetes and \or hypertension. It also aimed to assess severity of CHD through investigating the possible association between serum FGF21 and the coronary angiographic findings in terms of number of coronary vessels affected.</w:t>
      </w:r>
    </w:p>
    <w:p w:rsidR="00886584" w:rsidRDefault="00886584" w:rsidP="00C567D2">
      <w:pPr>
        <w:bidi w:val="0"/>
        <w:spacing w:line="360" w:lineRule="auto"/>
        <w:ind w:firstLine="720"/>
        <w:jc w:val="both"/>
        <w:rPr>
          <w:rFonts w:asciiTheme="minorBidi" w:hAnsiTheme="minorBidi"/>
          <w:b/>
          <w:bCs/>
        </w:rPr>
      </w:pPr>
    </w:p>
    <w:p w:rsidR="00F74DE4" w:rsidRPr="00886584" w:rsidRDefault="00412400" w:rsidP="00886584">
      <w:pPr>
        <w:bidi w:val="0"/>
        <w:spacing w:line="360" w:lineRule="auto"/>
        <w:ind w:firstLine="720"/>
        <w:jc w:val="both"/>
        <w:rPr>
          <w:rFonts w:asciiTheme="minorBidi" w:hAnsiTheme="minorBidi"/>
          <w:b/>
          <w:bCs/>
        </w:rPr>
      </w:pPr>
      <w:r>
        <w:rPr>
          <w:rFonts w:asciiTheme="minorBidi" w:hAnsiTheme="minorBidi"/>
          <w:b/>
          <w:bCs/>
        </w:rPr>
        <w:t xml:space="preserve">2- </w:t>
      </w:r>
      <w:r w:rsidR="00886584">
        <w:rPr>
          <w:rFonts w:asciiTheme="minorBidi" w:hAnsiTheme="minorBidi"/>
          <w:b/>
          <w:bCs/>
        </w:rPr>
        <w:t>PATIENTS AND METHODS</w:t>
      </w:r>
      <w:r w:rsidR="00F74DE4" w:rsidRPr="00886584">
        <w:rPr>
          <w:rFonts w:asciiTheme="minorBidi" w:hAnsiTheme="minorBidi"/>
          <w:b/>
          <w:bCs/>
        </w:rPr>
        <w:t>:</w:t>
      </w:r>
    </w:p>
    <w:p w:rsidR="00412400" w:rsidRDefault="00412400" w:rsidP="00886584">
      <w:pPr>
        <w:autoSpaceDE w:val="0"/>
        <w:autoSpaceDN w:val="0"/>
        <w:bidi w:val="0"/>
        <w:adjustRightInd w:val="0"/>
        <w:spacing w:after="0" w:line="360" w:lineRule="auto"/>
        <w:ind w:firstLine="720"/>
        <w:jc w:val="both"/>
        <w:rPr>
          <w:sz w:val="24"/>
          <w:szCs w:val="24"/>
          <w:lang w:bidi="ar-EG"/>
        </w:rPr>
      </w:pPr>
      <w:r>
        <w:rPr>
          <w:sz w:val="24"/>
          <w:szCs w:val="24"/>
          <w:lang w:bidi="ar-EG"/>
        </w:rPr>
        <w:t>2.1 Patients selection:</w:t>
      </w:r>
      <w:r w:rsidR="00F74DE4" w:rsidRPr="00B236B1">
        <w:rPr>
          <w:sz w:val="24"/>
          <w:szCs w:val="24"/>
          <w:lang w:bidi="ar-EG"/>
        </w:rPr>
        <w:t xml:space="preserve">      </w:t>
      </w:r>
    </w:p>
    <w:p w:rsidR="00F74DE4" w:rsidRPr="00B90ACE" w:rsidRDefault="00F74DE4" w:rsidP="00412400">
      <w:pPr>
        <w:autoSpaceDE w:val="0"/>
        <w:autoSpaceDN w:val="0"/>
        <w:bidi w:val="0"/>
        <w:adjustRightInd w:val="0"/>
        <w:spacing w:after="0" w:line="360" w:lineRule="auto"/>
        <w:ind w:firstLine="720"/>
        <w:jc w:val="both"/>
        <w:rPr>
          <w:rFonts w:asciiTheme="minorBidi" w:hAnsiTheme="minorBidi"/>
          <w:sz w:val="20"/>
          <w:szCs w:val="20"/>
        </w:rPr>
      </w:pPr>
      <w:r w:rsidRPr="00B236B1">
        <w:rPr>
          <w:sz w:val="24"/>
          <w:szCs w:val="24"/>
          <w:lang w:bidi="ar-EG"/>
        </w:rPr>
        <w:t xml:space="preserve"> </w:t>
      </w:r>
      <w:r w:rsidRPr="00B90ACE">
        <w:rPr>
          <w:rFonts w:asciiTheme="minorBidi" w:hAnsiTheme="minorBidi"/>
          <w:sz w:val="20"/>
          <w:szCs w:val="20"/>
        </w:rPr>
        <w:t>Seventy patients (47 Males and 23 females) were recruited from individuals admitted to the Critical Care Unit, Kasr Al Aini Medical Hospital, for coronary angiography to assess Ischemic (or Coronary) Heart Disease (IHD, CHD). Twelve (age, sex an</w:t>
      </w:r>
      <w:r w:rsidR="003D3CB7" w:rsidRPr="00B90ACE">
        <w:rPr>
          <w:rFonts w:asciiTheme="minorBidi" w:hAnsiTheme="minorBidi"/>
          <w:sz w:val="20"/>
          <w:szCs w:val="20"/>
        </w:rPr>
        <w:t>d body mass index (BMI) matched</w:t>
      </w:r>
      <w:r w:rsidRPr="00B90ACE">
        <w:rPr>
          <w:rFonts w:asciiTheme="minorBidi" w:hAnsiTheme="minorBidi"/>
          <w:sz w:val="20"/>
          <w:szCs w:val="20"/>
        </w:rPr>
        <w:t xml:space="preserve"> apparently healthy individuals were also included in the present study.                   </w:t>
      </w:r>
    </w:p>
    <w:p w:rsidR="00F74DE4" w:rsidRPr="00B90ACE" w:rsidRDefault="00F74DE4" w:rsidP="00886584">
      <w:pPr>
        <w:autoSpaceDE w:val="0"/>
        <w:autoSpaceDN w:val="0"/>
        <w:bidi w:val="0"/>
        <w:adjustRightInd w:val="0"/>
        <w:spacing w:after="0" w:line="360" w:lineRule="auto"/>
        <w:ind w:firstLine="720"/>
        <w:jc w:val="both"/>
        <w:rPr>
          <w:rFonts w:asciiTheme="minorBidi" w:hAnsiTheme="minorBidi"/>
          <w:sz w:val="20"/>
          <w:szCs w:val="20"/>
        </w:rPr>
      </w:pPr>
      <w:r w:rsidRPr="00B90ACE">
        <w:rPr>
          <w:rFonts w:asciiTheme="minorBidi" w:hAnsiTheme="minorBidi"/>
          <w:sz w:val="20"/>
          <w:szCs w:val="20"/>
        </w:rPr>
        <w:t xml:space="preserve">Exclusion criteria included </w:t>
      </w:r>
      <w:r w:rsidR="00886584" w:rsidRPr="00B90ACE">
        <w:rPr>
          <w:rFonts w:asciiTheme="minorBidi" w:hAnsiTheme="minorBidi"/>
          <w:sz w:val="20"/>
          <w:szCs w:val="20"/>
        </w:rPr>
        <w:t>all factors or diseases that known to increase FGF21</w:t>
      </w:r>
      <w:r w:rsidR="00B90ACE">
        <w:rPr>
          <w:rFonts w:asciiTheme="minorBidi" w:hAnsiTheme="minorBidi"/>
          <w:sz w:val="20"/>
          <w:szCs w:val="20"/>
        </w:rPr>
        <w:t xml:space="preserve"> serum level</w:t>
      </w:r>
      <w:r w:rsidR="00886584" w:rsidRPr="00B90ACE">
        <w:rPr>
          <w:rFonts w:asciiTheme="minorBidi" w:hAnsiTheme="minorBidi"/>
          <w:sz w:val="20"/>
          <w:szCs w:val="20"/>
        </w:rPr>
        <w:t xml:space="preserve"> such as: </w:t>
      </w:r>
      <w:r w:rsidRPr="00B90ACE">
        <w:rPr>
          <w:rFonts w:asciiTheme="minorBidi" w:hAnsiTheme="minorBidi"/>
          <w:sz w:val="20"/>
          <w:szCs w:val="20"/>
        </w:rPr>
        <w:t>pregnancy, liver or renal disease, thyroid patients, cancer patients and patients on steroid therapy.</w:t>
      </w:r>
    </w:p>
    <w:p w:rsidR="00F74DE4" w:rsidRPr="00B90ACE" w:rsidRDefault="00F74DE4" w:rsidP="00412400">
      <w:pPr>
        <w:autoSpaceDE w:val="0"/>
        <w:autoSpaceDN w:val="0"/>
        <w:bidi w:val="0"/>
        <w:adjustRightInd w:val="0"/>
        <w:spacing w:after="0" w:line="240" w:lineRule="auto"/>
        <w:ind w:firstLine="720"/>
        <w:jc w:val="both"/>
        <w:rPr>
          <w:rFonts w:asciiTheme="minorBidi" w:hAnsiTheme="minorBidi"/>
          <w:sz w:val="20"/>
          <w:szCs w:val="20"/>
        </w:rPr>
      </w:pPr>
      <w:r w:rsidRPr="00B90ACE">
        <w:rPr>
          <w:rFonts w:asciiTheme="minorBidi" w:hAnsiTheme="minorBidi"/>
          <w:sz w:val="20"/>
          <w:szCs w:val="20"/>
        </w:rPr>
        <w:t>All subjects were subjected to the following:</w:t>
      </w:r>
    </w:p>
    <w:p w:rsidR="00F74DE4" w:rsidRPr="00B90ACE" w:rsidRDefault="00F74DE4" w:rsidP="00412400">
      <w:pPr>
        <w:pStyle w:val="ListParagraph"/>
        <w:numPr>
          <w:ilvl w:val="0"/>
          <w:numId w:val="11"/>
        </w:numPr>
        <w:autoSpaceDE w:val="0"/>
        <w:autoSpaceDN w:val="0"/>
        <w:bidi w:val="0"/>
        <w:adjustRightInd w:val="0"/>
        <w:spacing w:after="0" w:line="240" w:lineRule="auto"/>
        <w:jc w:val="both"/>
        <w:rPr>
          <w:rFonts w:asciiTheme="minorBidi" w:hAnsiTheme="minorBidi"/>
          <w:sz w:val="20"/>
          <w:szCs w:val="20"/>
        </w:rPr>
      </w:pPr>
      <w:r w:rsidRPr="00B90ACE">
        <w:rPr>
          <w:rFonts w:asciiTheme="minorBidi" w:hAnsiTheme="minorBidi"/>
          <w:sz w:val="20"/>
          <w:szCs w:val="20"/>
        </w:rPr>
        <w:lastRenderedPageBreak/>
        <w:t xml:space="preserve">Full medical history, general and cardiological examinations and resting ECG (electrocardiogram) pre and post angiography.      </w:t>
      </w:r>
    </w:p>
    <w:p w:rsidR="00C11366" w:rsidRPr="00B90ACE" w:rsidRDefault="00F74DE4" w:rsidP="00412400">
      <w:pPr>
        <w:pStyle w:val="ListParagraph"/>
        <w:numPr>
          <w:ilvl w:val="0"/>
          <w:numId w:val="11"/>
        </w:numPr>
        <w:autoSpaceDE w:val="0"/>
        <w:autoSpaceDN w:val="0"/>
        <w:bidi w:val="0"/>
        <w:adjustRightInd w:val="0"/>
        <w:spacing w:after="0" w:line="240" w:lineRule="auto"/>
        <w:jc w:val="both"/>
        <w:rPr>
          <w:rFonts w:asciiTheme="minorBidi" w:hAnsiTheme="minorBidi"/>
          <w:sz w:val="20"/>
          <w:szCs w:val="20"/>
        </w:rPr>
      </w:pPr>
      <w:r w:rsidRPr="00B90ACE">
        <w:rPr>
          <w:rFonts w:asciiTheme="minorBidi" w:hAnsiTheme="minorBidi"/>
          <w:sz w:val="20"/>
          <w:szCs w:val="20"/>
        </w:rPr>
        <w:t xml:space="preserve">Anthropometric measurement will be carried out including (weight and height). The body mass index (BMI) was calculated as weight in kilograms divided by square of height in meters </w:t>
      </w:r>
      <w:r w:rsidR="00C11366" w:rsidRPr="00B90ACE">
        <w:rPr>
          <w:rFonts w:asciiTheme="minorBidi" w:hAnsiTheme="minorBidi"/>
          <w:sz w:val="20"/>
          <w:szCs w:val="20"/>
        </w:rPr>
        <w:t>. [8]</w:t>
      </w:r>
    </w:p>
    <w:p w:rsidR="00F74DE4" w:rsidRPr="00B90ACE" w:rsidRDefault="00F74DE4" w:rsidP="00412400">
      <w:pPr>
        <w:pStyle w:val="ListParagraph"/>
        <w:numPr>
          <w:ilvl w:val="0"/>
          <w:numId w:val="11"/>
        </w:numPr>
        <w:autoSpaceDE w:val="0"/>
        <w:autoSpaceDN w:val="0"/>
        <w:bidi w:val="0"/>
        <w:adjustRightInd w:val="0"/>
        <w:spacing w:after="0" w:line="240" w:lineRule="auto"/>
        <w:jc w:val="both"/>
        <w:rPr>
          <w:rFonts w:asciiTheme="minorBidi" w:hAnsiTheme="minorBidi"/>
          <w:sz w:val="20"/>
          <w:szCs w:val="20"/>
        </w:rPr>
      </w:pPr>
      <w:r w:rsidRPr="00B90ACE">
        <w:rPr>
          <w:rFonts w:asciiTheme="minorBidi" w:hAnsiTheme="minorBidi"/>
          <w:sz w:val="20"/>
          <w:szCs w:val="20"/>
        </w:rPr>
        <w:t>Blood samples were collected after overnight fasting by venipuncture and were divided into two parts in:</w:t>
      </w:r>
      <w:r w:rsidR="00785305" w:rsidRPr="00B90ACE">
        <w:rPr>
          <w:rFonts w:asciiTheme="minorBidi" w:hAnsiTheme="minorBidi"/>
          <w:sz w:val="20"/>
          <w:szCs w:val="20"/>
        </w:rPr>
        <w:t xml:space="preserve"> A-</w:t>
      </w:r>
      <w:r w:rsidRPr="00B90ACE">
        <w:rPr>
          <w:rFonts w:asciiTheme="minorBidi" w:hAnsiTheme="minorBidi"/>
          <w:sz w:val="20"/>
          <w:szCs w:val="20"/>
        </w:rPr>
        <w:t xml:space="preserve"> Empty centrifuge tubes: samples were allowed to clot for 30 minutes before centrifugation for 15 minutes at 1000 x g. Sera were separated and divided into aliquots and stored at – 800C till used. Haemolysed samples were discarded.</w:t>
      </w:r>
      <w:r w:rsidR="00785305" w:rsidRPr="00B90ACE">
        <w:rPr>
          <w:rFonts w:asciiTheme="minorBidi" w:hAnsiTheme="minorBidi"/>
          <w:sz w:val="20"/>
          <w:szCs w:val="20"/>
        </w:rPr>
        <w:t xml:space="preserve"> </w:t>
      </w:r>
      <w:r w:rsidRPr="00B90ACE">
        <w:rPr>
          <w:rFonts w:asciiTheme="minorBidi" w:hAnsiTheme="minorBidi"/>
          <w:sz w:val="20"/>
          <w:szCs w:val="20"/>
        </w:rPr>
        <w:t>B- Fluoride containing tubes: (for glucose estimation): which were incubated in water bath at 370C for 15 minutes then centrifuged at 3500 rpm. Sera were used for estimat</w:t>
      </w:r>
      <w:r w:rsidR="00785305" w:rsidRPr="00B90ACE">
        <w:rPr>
          <w:rFonts w:asciiTheme="minorBidi" w:hAnsiTheme="minorBidi"/>
          <w:sz w:val="20"/>
          <w:szCs w:val="20"/>
        </w:rPr>
        <w:t>ion of fasting blood glucose, the following laboratory measurements were included:</w:t>
      </w:r>
    </w:p>
    <w:p w:rsidR="00785305" w:rsidRPr="00B90ACE" w:rsidRDefault="00785305" w:rsidP="00412400">
      <w:pPr>
        <w:pStyle w:val="ListParagraph"/>
        <w:numPr>
          <w:ilvl w:val="0"/>
          <w:numId w:val="12"/>
        </w:numPr>
        <w:autoSpaceDE w:val="0"/>
        <w:autoSpaceDN w:val="0"/>
        <w:bidi w:val="0"/>
        <w:adjustRightInd w:val="0"/>
        <w:spacing w:after="0" w:line="240" w:lineRule="auto"/>
        <w:jc w:val="both"/>
        <w:rPr>
          <w:rFonts w:asciiTheme="minorBidi" w:hAnsiTheme="minorBidi"/>
          <w:sz w:val="20"/>
          <w:szCs w:val="20"/>
        </w:rPr>
      </w:pPr>
      <w:r w:rsidRPr="00B90ACE">
        <w:rPr>
          <w:rFonts w:asciiTheme="minorBidi" w:hAnsiTheme="minorBidi"/>
          <w:sz w:val="20"/>
          <w:szCs w:val="20"/>
        </w:rPr>
        <w:t>Estimation of biochemical variables (fasting glucose, insulin, total cholesterol, triglycerides, LDL, HDL cholesterol and creatinine) after an overnight fasting of at least 10 hours.</w:t>
      </w:r>
    </w:p>
    <w:p w:rsidR="00C11366" w:rsidRPr="00B90ACE" w:rsidRDefault="00F74DE4" w:rsidP="00412400">
      <w:pPr>
        <w:pStyle w:val="ListParagraph"/>
        <w:numPr>
          <w:ilvl w:val="0"/>
          <w:numId w:val="12"/>
        </w:numPr>
        <w:autoSpaceDE w:val="0"/>
        <w:autoSpaceDN w:val="0"/>
        <w:bidi w:val="0"/>
        <w:adjustRightInd w:val="0"/>
        <w:spacing w:after="0" w:line="240" w:lineRule="auto"/>
        <w:jc w:val="both"/>
        <w:rPr>
          <w:rFonts w:asciiTheme="minorBidi" w:hAnsiTheme="minorBidi"/>
          <w:sz w:val="20"/>
          <w:szCs w:val="20"/>
        </w:rPr>
      </w:pPr>
      <w:r w:rsidRPr="00B90ACE">
        <w:rPr>
          <w:rFonts w:asciiTheme="minorBidi" w:hAnsiTheme="minorBidi"/>
          <w:sz w:val="20"/>
          <w:szCs w:val="20"/>
        </w:rPr>
        <w:t>Serum FGF</w:t>
      </w:r>
      <w:r w:rsidR="00C615E9" w:rsidRPr="00B90ACE">
        <w:rPr>
          <w:rFonts w:asciiTheme="minorBidi" w:hAnsiTheme="minorBidi"/>
          <w:sz w:val="20"/>
          <w:szCs w:val="20"/>
        </w:rPr>
        <w:t>-21 was estimated by the Quantitativ</w:t>
      </w:r>
      <w:r w:rsidRPr="00B90ACE">
        <w:rPr>
          <w:rFonts w:asciiTheme="minorBidi" w:hAnsiTheme="minorBidi"/>
          <w:sz w:val="20"/>
          <w:szCs w:val="20"/>
        </w:rPr>
        <w:t>e Enzyme Linked Immuno-Sorbent Assay (EL</w:t>
      </w:r>
      <w:r w:rsidR="00B90ACE">
        <w:rPr>
          <w:rFonts w:asciiTheme="minorBidi" w:hAnsiTheme="minorBidi"/>
          <w:sz w:val="20"/>
          <w:szCs w:val="20"/>
        </w:rPr>
        <w:t>ISA) kit provided by R&amp;D system</w:t>
      </w:r>
      <w:r w:rsidR="00C11366" w:rsidRPr="00B90ACE">
        <w:rPr>
          <w:rFonts w:asciiTheme="minorBidi" w:hAnsiTheme="minorBidi"/>
          <w:sz w:val="20"/>
          <w:szCs w:val="20"/>
        </w:rPr>
        <w:t>. [9]</w:t>
      </w:r>
    </w:p>
    <w:p w:rsidR="00785305" w:rsidRPr="00B90ACE" w:rsidRDefault="00F74DE4" w:rsidP="00412400">
      <w:pPr>
        <w:pStyle w:val="ListParagraph"/>
        <w:numPr>
          <w:ilvl w:val="0"/>
          <w:numId w:val="12"/>
        </w:numPr>
        <w:autoSpaceDE w:val="0"/>
        <w:autoSpaceDN w:val="0"/>
        <w:bidi w:val="0"/>
        <w:adjustRightInd w:val="0"/>
        <w:spacing w:after="0" w:line="240" w:lineRule="auto"/>
        <w:jc w:val="both"/>
        <w:rPr>
          <w:rFonts w:asciiTheme="minorBidi" w:hAnsiTheme="minorBidi"/>
          <w:sz w:val="20"/>
          <w:szCs w:val="20"/>
        </w:rPr>
      </w:pPr>
      <w:r w:rsidRPr="00B90ACE">
        <w:rPr>
          <w:rFonts w:asciiTheme="minorBidi" w:hAnsiTheme="minorBidi"/>
          <w:sz w:val="20"/>
          <w:szCs w:val="20"/>
        </w:rPr>
        <w:t xml:space="preserve">Estimation of serum levels of insulin, </w:t>
      </w:r>
      <w:r w:rsidR="00A52BE9" w:rsidRPr="00B90ACE">
        <w:rPr>
          <w:rFonts w:asciiTheme="minorBidi" w:hAnsiTheme="minorBidi"/>
          <w:sz w:val="20"/>
          <w:szCs w:val="20"/>
        </w:rPr>
        <w:t>this</w:t>
      </w:r>
      <w:r w:rsidRPr="00B90ACE">
        <w:rPr>
          <w:rFonts w:asciiTheme="minorBidi" w:hAnsiTheme="minorBidi"/>
          <w:sz w:val="20"/>
          <w:szCs w:val="20"/>
        </w:rPr>
        <w:t xml:space="preserve"> was done by Enzyme Linked Immuno- Sorbent Assay (ELISA) kit provided by DRG instruments GmbH, division of DRG Inter</w:t>
      </w:r>
      <w:r w:rsidR="00B90ACE">
        <w:rPr>
          <w:rFonts w:asciiTheme="minorBidi" w:hAnsiTheme="minorBidi"/>
          <w:sz w:val="20"/>
          <w:szCs w:val="20"/>
        </w:rPr>
        <w:t>national, Inc. Marburg, Germany</w:t>
      </w:r>
      <w:r w:rsidR="00C11366" w:rsidRPr="00B90ACE">
        <w:rPr>
          <w:rFonts w:asciiTheme="minorBidi" w:hAnsiTheme="minorBidi"/>
          <w:sz w:val="20"/>
          <w:szCs w:val="20"/>
        </w:rPr>
        <w:t>. [10]</w:t>
      </w:r>
    </w:p>
    <w:p w:rsidR="00C11366" w:rsidRPr="00B90ACE" w:rsidRDefault="00F74DE4" w:rsidP="00412400">
      <w:pPr>
        <w:pStyle w:val="ListParagraph"/>
        <w:numPr>
          <w:ilvl w:val="0"/>
          <w:numId w:val="12"/>
        </w:numPr>
        <w:autoSpaceDE w:val="0"/>
        <w:autoSpaceDN w:val="0"/>
        <w:bidi w:val="0"/>
        <w:adjustRightInd w:val="0"/>
        <w:spacing w:after="0" w:line="240" w:lineRule="auto"/>
        <w:jc w:val="both"/>
        <w:rPr>
          <w:rFonts w:asciiTheme="minorBidi" w:hAnsiTheme="minorBidi"/>
          <w:sz w:val="20"/>
          <w:szCs w:val="20"/>
        </w:rPr>
      </w:pPr>
      <w:r w:rsidRPr="00B90ACE">
        <w:rPr>
          <w:rFonts w:asciiTheme="minorBidi" w:hAnsiTheme="minorBidi"/>
          <w:sz w:val="20"/>
          <w:szCs w:val="20"/>
        </w:rPr>
        <w:t>Homeostasis model ass</w:t>
      </w:r>
      <w:r w:rsidR="00785305" w:rsidRPr="00B90ACE">
        <w:rPr>
          <w:rFonts w:asciiTheme="minorBidi" w:hAnsiTheme="minorBidi"/>
          <w:sz w:val="20"/>
          <w:szCs w:val="20"/>
        </w:rPr>
        <w:t>essment for insulin resistance (</w:t>
      </w:r>
      <w:r w:rsidRPr="00B90ACE">
        <w:rPr>
          <w:rFonts w:asciiTheme="minorBidi" w:hAnsiTheme="minorBidi"/>
          <w:sz w:val="20"/>
          <w:szCs w:val="20"/>
        </w:rPr>
        <w:t>HOMA-IR) value were calculated on basis of fasting value of plasma glucose and insulin according</w:t>
      </w:r>
      <w:r w:rsidR="00785305" w:rsidRPr="00B90ACE">
        <w:rPr>
          <w:rFonts w:asciiTheme="minorBidi" w:hAnsiTheme="minorBidi"/>
          <w:sz w:val="20"/>
          <w:szCs w:val="20"/>
        </w:rPr>
        <w:t xml:space="preserve"> to HOMA model formula</w:t>
      </w:r>
      <w:r w:rsidRPr="00B90ACE">
        <w:rPr>
          <w:rFonts w:asciiTheme="minorBidi" w:hAnsiTheme="minorBidi"/>
          <w:sz w:val="20"/>
          <w:szCs w:val="20"/>
        </w:rPr>
        <w:t>;</w:t>
      </w:r>
      <w:r w:rsidR="00785305" w:rsidRPr="00B90ACE">
        <w:rPr>
          <w:rFonts w:asciiTheme="minorBidi" w:hAnsiTheme="minorBidi"/>
          <w:sz w:val="20"/>
          <w:szCs w:val="20"/>
        </w:rPr>
        <w:t xml:space="preserve"> </w:t>
      </w:r>
      <w:r w:rsidRPr="00B90ACE">
        <w:rPr>
          <w:rFonts w:asciiTheme="minorBidi" w:hAnsiTheme="minorBidi"/>
          <w:sz w:val="20"/>
          <w:szCs w:val="20"/>
        </w:rPr>
        <w:t xml:space="preserve">HOMA-IR = fasting insulin (mlU/L)  X  fasting glucose (mmol/L)  </w:t>
      </w:r>
      <w:r w:rsidRPr="00B90ACE">
        <w:rPr>
          <w:rFonts w:asciiTheme="minorBidi" w:hAnsiTheme="minorBidi" w:hint="cs"/>
          <w:sz w:val="20"/>
          <w:szCs w:val="20"/>
          <w:rtl/>
        </w:rPr>
        <w:t>÷</w:t>
      </w:r>
      <w:r w:rsidRPr="00B90ACE">
        <w:rPr>
          <w:rFonts w:asciiTheme="minorBidi" w:hAnsiTheme="minorBidi"/>
          <w:sz w:val="20"/>
          <w:szCs w:val="20"/>
        </w:rPr>
        <w:t xml:space="preserve">  22.5</w:t>
      </w:r>
      <w:r w:rsidR="00785305" w:rsidRPr="00B90ACE">
        <w:rPr>
          <w:rFonts w:asciiTheme="minorBidi" w:hAnsiTheme="minorBidi"/>
          <w:sz w:val="20"/>
          <w:szCs w:val="20"/>
        </w:rPr>
        <w:t xml:space="preserve">, </w:t>
      </w:r>
      <w:r w:rsidRPr="00B90ACE">
        <w:rPr>
          <w:rFonts w:asciiTheme="minorBidi" w:hAnsiTheme="minorBidi"/>
          <w:sz w:val="20"/>
          <w:szCs w:val="20"/>
        </w:rPr>
        <w:t xml:space="preserve">Insulin resistance was arbitrarily considered altered when it was </w:t>
      </w:r>
      <w:r w:rsidRPr="00B90ACE">
        <w:rPr>
          <w:rFonts w:asciiTheme="minorBidi" w:hAnsiTheme="minorBidi" w:hint="cs"/>
          <w:sz w:val="20"/>
          <w:szCs w:val="20"/>
          <w:rtl/>
        </w:rPr>
        <w:t>&lt;</w:t>
      </w:r>
      <w:r w:rsidRPr="00B90ACE">
        <w:rPr>
          <w:rFonts w:asciiTheme="minorBidi" w:hAnsiTheme="minorBidi"/>
          <w:sz w:val="20"/>
          <w:szCs w:val="20"/>
        </w:rPr>
        <w:t xml:space="preserve"> 2 </w:t>
      </w:r>
      <w:r w:rsidR="00C11366" w:rsidRPr="00B90ACE">
        <w:rPr>
          <w:rFonts w:asciiTheme="minorBidi" w:hAnsiTheme="minorBidi"/>
          <w:sz w:val="20"/>
          <w:szCs w:val="20"/>
        </w:rPr>
        <w:t>. [11]</w:t>
      </w:r>
    </w:p>
    <w:p w:rsidR="00B65DAA" w:rsidRPr="00B90ACE" w:rsidRDefault="00B65DAA" w:rsidP="00412400">
      <w:pPr>
        <w:pStyle w:val="ListParagraph"/>
        <w:autoSpaceDE w:val="0"/>
        <w:autoSpaceDN w:val="0"/>
        <w:bidi w:val="0"/>
        <w:adjustRightInd w:val="0"/>
        <w:spacing w:after="0" w:line="240" w:lineRule="auto"/>
        <w:ind w:left="928"/>
        <w:jc w:val="both"/>
        <w:rPr>
          <w:rFonts w:asciiTheme="minorBidi" w:hAnsiTheme="minorBidi"/>
          <w:sz w:val="20"/>
          <w:szCs w:val="20"/>
        </w:rPr>
      </w:pPr>
    </w:p>
    <w:p w:rsidR="00F74DE4" w:rsidRPr="00B90ACE" w:rsidRDefault="00F74DE4" w:rsidP="00412400">
      <w:pPr>
        <w:pStyle w:val="ListParagraph"/>
        <w:numPr>
          <w:ilvl w:val="0"/>
          <w:numId w:val="13"/>
        </w:numPr>
        <w:autoSpaceDE w:val="0"/>
        <w:autoSpaceDN w:val="0"/>
        <w:bidi w:val="0"/>
        <w:adjustRightInd w:val="0"/>
        <w:spacing w:after="0" w:line="240" w:lineRule="auto"/>
        <w:jc w:val="both"/>
        <w:rPr>
          <w:rFonts w:asciiTheme="minorBidi" w:hAnsiTheme="minorBidi"/>
          <w:b/>
          <w:bCs/>
          <w:sz w:val="20"/>
          <w:szCs w:val="20"/>
        </w:rPr>
      </w:pPr>
      <w:r w:rsidRPr="00B90ACE">
        <w:rPr>
          <w:rFonts w:asciiTheme="minorBidi" w:hAnsiTheme="minorBidi"/>
          <w:b/>
          <w:bCs/>
          <w:sz w:val="20"/>
          <w:szCs w:val="20"/>
        </w:rPr>
        <w:t>Coronary angiography:</w:t>
      </w:r>
    </w:p>
    <w:p w:rsidR="00C11366" w:rsidRPr="00B90ACE" w:rsidRDefault="00F74DE4" w:rsidP="00412400">
      <w:pPr>
        <w:autoSpaceDE w:val="0"/>
        <w:autoSpaceDN w:val="0"/>
        <w:bidi w:val="0"/>
        <w:adjustRightInd w:val="0"/>
        <w:spacing w:after="0" w:line="240" w:lineRule="auto"/>
        <w:ind w:firstLine="720"/>
        <w:jc w:val="both"/>
        <w:rPr>
          <w:rFonts w:asciiTheme="minorBidi" w:hAnsiTheme="minorBidi"/>
          <w:sz w:val="20"/>
          <w:szCs w:val="20"/>
        </w:rPr>
      </w:pPr>
      <w:r w:rsidRPr="00B90ACE">
        <w:rPr>
          <w:rFonts w:asciiTheme="minorBidi" w:hAnsiTheme="minorBidi"/>
          <w:sz w:val="20"/>
          <w:szCs w:val="20"/>
        </w:rPr>
        <w:t>Eligibility criteria for coronary angiography were based on electrocardiogram findings, elevation of serum enzymes, and chest discomfort consistent with myocardial infarction or recurrent chest discomfort related to exercise or excitement that lasted up to 15 minutes that was responsive to rest or nitroglycerin and together with objective evidence of myocardial ischemia (≥1 mm of ST-segment depression or ≥2 mm of T-wave inversion on an electrocardiogram at rest or inducible ischemia on exertion or pharmacologic stress testing)</w:t>
      </w:r>
      <w:r w:rsidR="002E2AF2" w:rsidRPr="00B90ACE">
        <w:rPr>
          <w:rFonts w:asciiTheme="minorBidi" w:hAnsiTheme="minorBidi"/>
          <w:sz w:val="20"/>
          <w:szCs w:val="20"/>
        </w:rPr>
        <w:t xml:space="preserve"> </w:t>
      </w:r>
      <w:r w:rsidR="00C11366" w:rsidRPr="00B90ACE">
        <w:rPr>
          <w:rFonts w:asciiTheme="minorBidi" w:hAnsiTheme="minorBidi"/>
          <w:sz w:val="20"/>
          <w:szCs w:val="20"/>
        </w:rPr>
        <w:t>. [12, 13, 14]</w:t>
      </w:r>
    </w:p>
    <w:p w:rsidR="00F74DE4" w:rsidRPr="00B90ACE" w:rsidRDefault="00F74DE4" w:rsidP="00412400">
      <w:pPr>
        <w:autoSpaceDE w:val="0"/>
        <w:autoSpaceDN w:val="0"/>
        <w:bidi w:val="0"/>
        <w:adjustRightInd w:val="0"/>
        <w:spacing w:after="0" w:line="240" w:lineRule="auto"/>
        <w:ind w:firstLine="720"/>
        <w:jc w:val="both"/>
        <w:rPr>
          <w:rFonts w:asciiTheme="minorBidi" w:hAnsiTheme="minorBidi"/>
          <w:sz w:val="20"/>
          <w:szCs w:val="20"/>
        </w:rPr>
      </w:pPr>
    </w:p>
    <w:p w:rsidR="00F74DE4" w:rsidRPr="00B90ACE" w:rsidRDefault="00F74DE4" w:rsidP="00412400">
      <w:pPr>
        <w:autoSpaceDE w:val="0"/>
        <w:autoSpaceDN w:val="0"/>
        <w:bidi w:val="0"/>
        <w:adjustRightInd w:val="0"/>
        <w:spacing w:after="0" w:line="240" w:lineRule="auto"/>
        <w:ind w:firstLine="720"/>
        <w:jc w:val="both"/>
        <w:rPr>
          <w:rFonts w:asciiTheme="minorBidi" w:hAnsiTheme="minorBidi"/>
          <w:sz w:val="20"/>
          <w:szCs w:val="20"/>
        </w:rPr>
      </w:pPr>
      <w:r w:rsidRPr="00B90ACE">
        <w:rPr>
          <w:rFonts w:asciiTheme="minorBidi" w:hAnsiTheme="minorBidi"/>
          <w:sz w:val="20"/>
          <w:szCs w:val="20"/>
        </w:rPr>
        <w:t xml:space="preserve">The Procedure was carried through the right femoral artery using the Seldinger’s technique and using 6F. Left Judkins and right Judkins catheters </w:t>
      </w:r>
      <w:r w:rsidR="00C11366" w:rsidRPr="00B90ACE">
        <w:rPr>
          <w:rFonts w:asciiTheme="minorBidi" w:hAnsiTheme="minorBidi"/>
          <w:sz w:val="20"/>
          <w:szCs w:val="20"/>
        </w:rPr>
        <w:t>. [15]</w:t>
      </w:r>
    </w:p>
    <w:p w:rsidR="00F74DE4" w:rsidRPr="00B90ACE" w:rsidRDefault="00F74DE4" w:rsidP="00412400">
      <w:pPr>
        <w:autoSpaceDE w:val="0"/>
        <w:autoSpaceDN w:val="0"/>
        <w:bidi w:val="0"/>
        <w:adjustRightInd w:val="0"/>
        <w:spacing w:after="0" w:line="240" w:lineRule="auto"/>
        <w:ind w:firstLine="720"/>
        <w:jc w:val="both"/>
        <w:rPr>
          <w:rFonts w:asciiTheme="minorBidi" w:hAnsiTheme="minorBidi"/>
          <w:sz w:val="20"/>
          <w:szCs w:val="20"/>
        </w:rPr>
      </w:pPr>
      <w:r w:rsidRPr="00B90ACE">
        <w:rPr>
          <w:rFonts w:asciiTheme="minorBidi" w:hAnsiTheme="minorBidi"/>
          <w:sz w:val="20"/>
          <w:szCs w:val="20"/>
        </w:rPr>
        <w:t xml:space="preserve">Significant coronary stenosis was considered when the vessel lesion was higher than 50% stenosis and the number of coronary vessels affection were measured as: One vessel disease, two vessels disease and multi-vessel disease (affection of 3 vessels or more). </w:t>
      </w:r>
    </w:p>
    <w:p w:rsidR="00886584" w:rsidRPr="00B90ACE" w:rsidRDefault="00886584" w:rsidP="00886584">
      <w:pPr>
        <w:tabs>
          <w:tab w:val="right" w:pos="426"/>
        </w:tabs>
        <w:autoSpaceDE w:val="0"/>
        <w:autoSpaceDN w:val="0"/>
        <w:bidi w:val="0"/>
        <w:adjustRightInd w:val="0"/>
        <w:spacing w:before="120" w:after="120" w:line="360" w:lineRule="auto"/>
        <w:contextualSpacing/>
        <w:jc w:val="both"/>
        <w:rPr>
          <w:rFonts w:asciiTheme="minorBidi" w:eastAsia="Calibri" w:hAnsiTheme="minorBidi"/>
          <w:b/>
          <w:bCs/>
          <w:sz w:val="20"/>
          <w:szCs w:val="20"/>
        </w:rPr>
      </w:pPr>
    </w:p>
    <w:p w:rsidR="00412400" w:rsidRPr="00B90ACE" w:rsidRDefault="00412400" w:rsidP="00412400">
      <w:pPr>
        <w:autoSpaceDE w:val="0"/>
        <w:autoSpaceDN w:val="0"/>
        <w:bidi w:val="0"/>
        <w:adjustRightInd w:val="0"/>
        <w:spacing w:after="0" w:line="360" w:lineRule="auto"/>
        <w:ind w:firstLine="720"/>
        <w:jc w:val="both"/>
        <w:rPr>
          <w:rFonts w:asciiTheme="minorBidi" w:hAnsiTheme="minorBidi"/>
          <w:sz w:val="20"/>
          <w:szCs w:val="20"/>
        </w:rPr>
      </w:pPr>
      <w:r w:rsidRPr="00B90ACE">
        <w:rPr>
          <w:rFonts w:asciiTheme="minorBidi" w:hAnsiTheme="minorBidi"/>
          <w:sz w:val="20"/>
          <w:szCs w:val="20"/>
        </w:rPr>
        <w:t>After coronary angiography the patients group were classified into;</w:t>
      </w:r>
    </w:p>
    <w:p w:rsidR="00412400" w:rsidRPr="00B90ACE" w:rsidRDefault="00412400" w:rsidP="00412400">
      <w:pPr>
        <w:autoSpaceDE w:val="0"/>
        <w:autoSpaceDN w:val="0"/>
        <w:bidi w:val="0"/>
        <w:adjustRightInd w:val="0"/>
        <w:spacing w:after="0" w:line="360" w:lineRule="auto"/>
        <w:ind w:firstLine="720"/>
        <w:jc w:val="both"/>
        <w:rPr>
          <w:rFonts w:asciiTheme="minorBidi" w:hAnsiTheme="minorBidi"/>
          <w:sz w:val="20"/>
          <w:szCs w:val="20"/>
        </w:rPr>
      </w:pPr>
      <w:r w:rsidRPr="00B90ACE">
        <w:rPr>
          <w:rFonts w:asciiTheme="minorBidi" w:hAnsiTheme="minorBidi"/>
          <w:sz w:val="20"/>
          <w:szCs w:val="20"/>
        </w:rPr>
        <w:t xml:space="preserve">  -  Sub-group (A): Coronary Artery Disease patients without DM or hypertension. </w:t>
      </w:r>
    </w:p>
    <w:p w:rsidR="00412400" w:rsidRPr="00B90ACE" w:rsidRDefault="00412400" w:rsidP="00412400">
      <w:pPr>
        <w:autoSpaceDE w:val="0"/>
        <w:autoSpaceDN w:val="0"/>
        <w:bidi w:val="0"/>
        <w:adjustRightInd w:val="0"/>
        <w:spacing w:after="0" w:line="360" w:lineRule="auto"/>
        <w:ind w:firstLine="720"/>
        <w:jc w:val="both"/>
        <w:rPr>
          <w:rFonts w:asciiTheme="minorBidi" w:hAnsiTheme="minorBidi"/>
          <w:sz w:val="20"/>
          <w:szCs w:val="20"/>
        </w:rPr>
      </w:pPr>
      <w:r w:rsidRPr="00B90ACE">
        <w:rPr>
          <w:rFonts w:asciiTheme="minorBidi" w:hAnsiTheme="minorBidi"/>
          <w:sz w:val="20"/>
          <w:szCs w:val="20"/>
        </w:rPr>
        <w:t xml:space="preserve">  -  Sub-group (B): Coronary Artery Disease patients with DM and/or hypertension. </w:t>
      </w:r>
    </w:p>
    <w:p w:rsidR="00412400" w:rsidRPr="00B90ACE" w:rsidRDefault="00412400" w:rsidP="00412400">
      <w:pPr>
        <w:autoSpaceDE w:val="0"/>
        <w:autoSpaceDN w:val="0"/>
        <w:bidi w:val="0"/>
        <w:adjustRightInd w:val="0"/>
        <w:spacing w:after="0" w:line="360" w:lineRule="auto"/>
        <w:ind w:firstLine="720"/>
        <w:jc w:val="both"/>
        <w:rPr>
          <w:rFonts w:asciiTheme="minorBidi" w:hAnsiTheme="minorBidi"/>
          <w:sz w:val="20"/>
          <w:szCs w:val="20"/>
        </w:rPr>
      </w:pPr>
      <w:r w:rsidRPr="00B90ACE">
        <w:rPr>
          <w:rFonts w:asciiTheme="minorBidi" w:hAnsiTheme="minorBidi"/>
          <w:sz w:val="20"/>
          <w:szCs w:val="20"/>
        </w:rPr>
        <w:t xml:space="preserve"> -   Sub-group (C): Normal angiography with DM and/ or hypertension. </w:t>
      </w:r>
    </w:p>
    <w:p w:rsidR="00412400" w:rsidRPr="00B90ACE" w:rsidRDefault="00412400" w:rsidP="00412400">
      <w:pPr>
        <w:autoSpaceDE w:val="0"/>
        <w:autoSpaceDN w:val="0"/>
        <w:bidi w:val="0"/>
        <w:adjustRightInd w:val="0"/>
        <w:spacing w:after="0" w:line="360" w:lineRule="auto"/>
        <w:jc w:val="both"/>
        <w:rPr>
          <w:rFonts w:asciiTheme="minorBidi" w:hAnsiTheme="minorBidi"/>
          <w:sz w:val="20"/>
          <w:szCs w:val="20"/>
        </w:rPr>
      </w:pPr>
      <w:r w:rsidRPr="00B90ACE">
        <w:rPr>
          <w:rFonts w:asciiTheme="minorBidi" w:hAnsiTheme="minorBidi"/>
          <w:sz w:val="20"/>
          <w:szCs w:val="20"/>
        </w:rPr>
        <w:t xml:space="preserve">Also CAD patients were classified according to number of vessel affected (&gt; 50% stenosis) into; </w:t>
      </w:r>
    </w:p>
    <w:p w:rsidR="00412400" w:rsidRPr="00B90ACE" w:rsidRDefault="00412400" w:rsidP="00412400">
      <w:pPr>
        <w:autoSpaceDE w:val="0"/>
        <w:autoSpaceDN w:val="0"/>
        <w:bidi w:val="0"/>
        <w:adjustRightInd w:val="0"/>
        <w:spacing w:after="0" w:line="360" w:lineRule="auto"/>
        <w:ind w:firstLine="720"/>
        <w:jc w:val="both"/>
        <w:rPr>
          <w:rFonts w:asciiTheme="minorBidi" w:hAnsiTheme="minorBidi"/>
          <w:sz w:val="20"/>
          <w:szCs w:val="20"/>
        </w:rPr>
      </w:pPr>
      <w:r w:rsidRPr="00B90ACE">
        <w:rPr>
          <w:rFonts w:asciiTheme="minorBidi" w:hAnsiTheme="minorBidi"/>
          <w:sz w:val="20"/>
          <w:szCs w:val="20"/>
        </w:rPr>
        <w:t>Sub-group (1): One vessel affection.</w:t>
      </w:r>
    </w:p>
    <w:p w:rsidR="00412400" w:rsidRPr="00B90ACE" w:rsidRDefault="00412400" w:rsidP="00412400">
      <w:pPr>
        <w:autoSpaceDE w:val="0"/>
        <w:autoSpaceDN w:val="0"/>
        <w:bidi w:val="0"/>
        <w:adjustRightInd w:val="0"/>
        <w:spacing w:after="0" w:line="360" w:lineRule="auto"/>
        <w:ind w:firstLine="720"/>
        <w:jc w:val="both"/>
        <w:rPr>
          <w:rFonts w:asciiTheme="minorBidi" w:hAnsiTheme="minorBidi"/>
          <w:sz w:val="20"/>
          <w:szCs w:val="20"/>
        </w:rPr>
      </w:pPr>
      <w:r w:rsidRPr="00B90ACE">
        <w:rPr>
          <w:rFonts w:asciiTheme="minorBidi" w:hAnsiTheme="minorBidi"/>
          <w:sz w:val="20"/>
          <w:szCs w:val="20"/>
        </w:rPr>
        <w:t>Sub-group (2): Two vessel affection.</w:t>
      </w:r>
    </w:p>
    <w:p w:rsidR="00412400" w:rsidRPr="00B90ACE" w:rsidRDefault="00412400" w:rsidP="00412400">
      <w:pPr>
        <w:autoSpaceDE w:val="0"/>
        <w:autoSpaceDN w:val="0"/>
        <w:bidi w:val="0"/>
        <w:adjustRightInd w:val="0"/>
        <w:spacing w:after="0" w:line="360" w:lineRule="auto"/>
        <w:ind w:firstLine="720"/>
        <w:jc w:val="both"/>
        <w:rPr>
          <w:rFonts w:asciiTheme="minorBidi" w:hAnsiTheme="minorBidi"/>
          <w:sz w:val="20"/>
          <w:szCs w:val="20"/>
        </w:rPr>
      </w:pPr>
      <w:r w:rsidRPr="00B90ACE">
        <w:rPr>
          <w:rFonts w:asciiTheme="minorBidi" w:hAnsiTheme="minorBidi"/>
          <w:sz w:val="20"/>
          <w:szCs w:val="20"/>
        </w:rPr>
        <w:t>Sub-group (3): Multi-vessel affection.</w:t>
      </w:r>
    </w:p>
    <w:p w:rsidR="00412400" w:rsidRPr="00B90ACE" w:rsidRDefault="00412400" w:rsidP="00412400">
      <w:pPr>
        <w:autoSpaceDE w:val="0"/>
        <w:autoSpaceDN w:val="0"/>
        <w:bidi w:val="0"/>
        <w:adjustRightInd w:val="0"/>
        <w:spacing w:after="0" w:line="360" w:lineRule="auto"/>
        <w:jc w:val="both"/>
        <w:rPr>
          <w:rFonts w:asciiTheme="minorBidi" w:hAnsiTheme="minorBidi"/>
          <w:sz w:val="20"/>
          <w:szCs w:val="20"/>
        </w:rPr>
      </w:pPr>
      <w:r w:rsidRPr="00B90ACE">
        <w:rPr>
          <w:rFonts w:asciiTheme="minorBidi" w:hAnsiTheme="minorBidi"/>
          <w:sz w:val="20"/>
          <w:szCs w:val="20"/>
        </w:rPr>
        <w:t>The Ethical Committee of Kasr Al Aini Medical Hospital approved the study and an informed consent was taken from each patient.</w:t>
      </w:r>
    </w:p>
    <w:p w:rsidR="00412400" w:rsidRDefault="00412400" w:rsidP="00886584">
      <w:pPr>
        <w:tabs>
          <w:tab w:val="right" w:pos="426"/>
        </w:tabs>
        <w:autoSpaceDE w:val="0"/>
        <w:autoSpaceDN w:val="0"/>
        <w:bidi w:val="0"/>
        <w:adjustRightInd w:val="0"/>
        <w:spacing w:before="120" w:after="120" w:line="360" w:lineRule="auto"/>
        <w:contextualSpacing/>
        <w:jc w:val="both"/>
        <w:rPr>
          <w:rFonts w:asciiTheme="minorBidi" w:eastAsia="Calibri" w:hAnsiTheme="minorBidi"/>
          <w:b/>
          <w:bCs/>
          <w:sz w:val="20"/>
          <w:szCs w:val="20"/>
        </w:rPr>
      </w:pPr>
    </w:p>
    <w:p w:rsidR="00F74DE4" w:rsidRPr="00B90ACE" w:rsidRDefault="00886584" w:rsidP="00412400">
      <w:pPr>
        <w:tabs>
          <w:tab w:val="right" w:pos="426"/>
        </w:tabs>
        <w:autoSpaceDE w:val="0"/>
        <w:autoSpaceDN w:val="0"/>
        <w:bidi w:val="0"/>
        <w:adjustRightInd w:val="0"/>
        <w:spacing w:before="120" w:after="120" w:line="360" w:lineRule="auto"/>
        <w:contextualSpacing/>
        <w:jc w:val="both"/>
        <w:rPr>
          <w:rFonts w:asciiTheme="minorBidi" w:eastAsia="Calibri" w:hAnsiTheme="minorBidi"/>
          <w:b/>
          <w:bCs/>
          <w:sz w:val="20"/>
          <w:szCs w:val="20"/>
        </w:rPr>
      </w:pPr>
      <w:r w:rsidRPr="00B90ACE">
        <w:rPr>
          <w:rFonts w:asciiTheme="minorBidi" w:eastAsia="Calibri" w:hAnsiTheme="minorBidi"/>
          <w:b/>
          <w:bCs/>
          <w:sz w:val="20"/>
          <w:szCs w:val="20"/>
        </w:rPr>
        <w:t>STATISTICAL  ANALYSIS:</w:t>
      </w:r>
    </w:p>
    <w:p w:rsidR="00F74DE4" w:rsidRPr="00B90ACE" w:rsidRDefault="00F74DE4" w:rsidP="00886584">
      <w:pPr>
        <w:autoSpaceDE w:val="0"/>
        <w:autoSpaceDN w:val="0"/>
        <w:bidi w:val="0"/>
        <w:adjustRightInd w:val="0"/>
        <w:spacing w:after="0" w:line="360" w:lineRule="auto"/>
        <w:ind w:firstLine="720"/>
        <w:jc w:val="both"/>
        <w:rPr>
          <w:rFonts w:asciiTheme="minorBidi" w:hAnsiTheme="minorBidi"/>
          <w:sz w:val="20"/>
          <w:szCs w:val="20"/>
        </w:rPr>
      </w:pPr>
      <w:r w:rsidRPr="00B90ACE">
        <w:rPr>
          <w:rFonts w:asciiTheme="minorBidi" w:hAnsiTheme="minorBidi"/>
          <w:sz w:val="20"/>
          <w:szCs w:val="20"/>
        </w:rPr>
        <w:lastRenderedPageBreak/>
        <w:t>Analysis of data was performed using SPSS 21 (Statistical Package for Scientific Studies) for Windows. Description of variables was presented as follows:</w:t>
      </w:r>
    </w:p>
    <w:p w:rsidR="00F74DE4" w:rsidRPr="00B90ACE" w:rsidRDefault="00F74DE4" w:rsidP="00B5186C">
      <w:pPr>
        <w:pStyle w:val="ListParagraph"/>
        <w:numPr>
          <w:ilvl w:val="0"/>
          <w:numId w:val="13"/>
        </w:numPr>
        <w:autoSpaceDE w:val="0"/>
        <w:autoSpaceDN w:val="0"/>
        <w:bidi w:val="0"/>
        <w:adjustRightInd w:val="0"/>
        <w:spacing w:after="0" w:line="360" w:lineRule="auto"/>
        <w:jc w:val="both"/>
        <w:rPr>
          <w:rFonts w:asciiTheme="minorBidi" w:hAnsiTheme="minorBidi"/>
          <w:sz w:val="20"/>
          <w:szCs w:val="20"/>
        </w:rPr>
      </w:pPr>
      <w:r w:rsidRPr="00B90ACE">
        <w:rPr>
          <w:rFonts w:asciiTheme="minorBidi" w:hAnsiTheme="minorBidi"/>
          <w:sz w:val="20"/>
          <w:szCs w:val="20"/>
        </w:rPr>
        <w:t>Description of quantitat</w:t>
      </w:r>
      <w:r w:rsidR="008A3B33" w:rsidRPr="00B90ACE">
        <w:rPr>
          <w:rFonts w:asciiTheme="minorBidi" w:hAnsiTheme="minorBidi"/>
          <w:sz w:val="20"/>
          <w:szCs w:val="20"/>
        </w:rPr>
        <w:t>ive variables were presented as the following:</w:t>
      </w:r>
      <w:r w:rsidRPr="00B90ACE">
        <w:rPr>
          <w:rFonts w:asciiTheme="minorBidi" w:hAnsiTheme="minorBidi"/>
          <w:sz w:val="20"/>
          <w:szCs w:val="20"/>
        </w:rPr>
        <w:t xml:space="preserve"> Normally distributed data were expressed as mean± SD. Data that were not normally distributed, as determined using Kolmogorox-Smirnov test, were logarithmically transformed before analysis and expressed as median with interquartile range.</w:t>
      </w:r>
    </w:p>
    <w:p w:rsidR="00F74DE4" w:rsidRPr="00B90ACE" w:rsidRDefault="00F74DE4" w:rsidP="00B5186C">
      <w:pPr>
        <w:pStyle w:val="ListParagraph"/>
        <w:numPr>
          <w:ilvl w:val="0"/>
          <w:numId w:val="13"/>
        </w:numPr>
        <w:autoSpaceDE w:val="0"/>
        <w:autoSpaceDN w:val="0"/>
        <w:bidi w:val="0"/>
        <w:adjustRightInd w:val="0"/>
        <w:spacing w:after="0" w:line="360" w:lineRule="auto"/>
        <w:jc w:val="both"/>
        <w:rPr>
          <w:rFonts w:asciiTheme="minorBidi" w:hAnsiTheme="minorBidi"/>
          <w:sz w:val="20"/>
          <w:szCs w:val="20"/>
        </w:rPr>
      </w:pPr>
      <w:r w:rsidRPr="00B90ACE">
        <w:rPr>
          <w:rFonts w:asciiTheme="minorBidi" w:hAnsiTheme="minorBidi"/>
          <w:sz w:val="20"/>
          <w:szCs w:val="20"/>
        </w:rPr>
        <w:t>Description of qualitative variables was in the form of numbers (No.) and percents (%).</w:t>
      </w:r>
    </w:p>
    <w:p w:rsidR="00F74DE4" w:rsidRPr="00B90ACE" w:rsidRDefault="00F74DE4" w:rsidP="00B5186C">
      <w:pPr>
        <w:pStyle w:val="ListParagraph"/>
        <w:numPr>
          <w:ilvl w:val="0"/>
          <w:numId w:val="13"/>
        </w:numPr>
        <w:autoSpaceDE w:val="0"/>
        <w:autoSpaceDN w:val="0"/>
        <w:bidi w:val="0"/>
        <w:adjustRightInd w:val="0"/>
        <w:spacing w:after="0" w:line="360" w:lineRule="auto"/>
        <w:jc w:val="both"/>
        <w:rPr>
          <w:rFonts w:asciiTheme="minorBidi" w:hAnsiTheme="minorBidi"/>
          <w:sz w:val="20"/>
          <w:szCs w:val="20"/>
        </w:rPr>
      </w:pPr>
      <w:r w:rsidRPr="00B90ACE">
        <w:rPr>
          <w:rFonts w:asciiTheme="minorBidi" w:hAnsiTheme="minorBidi"/>
          <w:sz w:val="20"/>
          <w:szCs w:val="20"/>
        </w:rPr>
        <w:t>Comparison between quantitative variables was carried out by student T-test of two independent samples Results were expressed in the form of P-values.</w:t>
      </w:r>
    </w:p>
    <w:p w:rsidR="00F74DE4" w:rsidRPr="00B90ACE" w:rsidRDefault="00F74DE4" w:rsidP="00B5186C">
      <w:pPr>
        <w:pStyle w:val="ListParagraph"/>
        <w:numPr>
          <w:ilvl w:val="0"/>
          <w:numId w:val="13"/>
        </w:numPr>
        <w:autoSpaceDE w:val="0"/>
        <w:autoSpaceDN w:val="0"/>
        <w:bidi w:val="0"/>
        <w:adjustRightInd w:val="0"/>
        <w:spacing w:after="0" w:line="360" w:lineRule="auto"/>
        <w:jc w:val="both"/>
        <w:rPr>
          <w:rFonts w:asciiTheme="minorBidi" w:hAnsiTheme="minorBidi"/>
          <w:sz w:val="20"/>
          <w:szCs w:val="20"/>
        </w:rPr>
      </w:pPr>
      <w:r w:rsidRPr="00B90ACE">
        <w:rPr>
          <w:rFonts w:asciiTheme="minorBidi" w:hAnsiTheme="minorBidi"/>
          <w:sz w:val="20"/>
          <w:szCs w:val="20"/>
        </w:rPr>
        <w:t>Comparison between non parametric quantitative variables was carried out by Mann–Whitney U.  kruskal-wallis test was used when  comparing between more than two groups of independent variables. Results were expressed in the form of P-values.</w:t>
      </w:r>
    </w:p>
    <w:p w:rsidR="00701E7C" w:rsidRPr="00B90ACE" w:rsidRDefault="00F74DE4" w:rsidP="00B5186C">
      <w:pPr>
        <w:pStyle w:val="ListParagraph"/>
        <w:numPr>
          <w:ilvl w:val="0"/>
          <w:numId w:val="13"/>
        </w:numPr>
        <w:autoSpaceDE w:val="0"/>
        <w:autoSpaceDN w:val="0"/>
        <w:bidi w:val="0"/>
        <w:adjustRightInd w:val="0"/>
        <w:spacing w:after="0" w:line="360" w:lineRule="auto"/>
        <w:jc w:val="both"/>
        <w:rPr>
          <w:rFonts w:asciiTheme="minorBidi" w:hAnsiTheme="minorBidi"/>
          <w:sz w:val="20"/>
          <w:szCs w:val="20"/>
        </w:rPr>
      </w:pPr>
      <w:r w:rsidRPr="00B90ACE">
        <w:rPr>
          <w:rFonts w:asciiTheme="minorBidi" w:hAnsiTheme="minorBidi"/>
          <w:sz w:val="20"/>
          <w:szCs w:val="20"/>
        </w:rPr>
        <w:t>Comparison between qualitative variables was carried out by Chi-Square test (X2). Fisher exact test was used instead of Chi-square test when one expected cell or more were ≤ 5.</w:t>
      </w:r>
    </w:p>
    <w:p w:rsidR="00F74DE4" w:rsidRPr="00B90ACE" w:rsidRDefault="00F74DE4" w:rsidP="00B5186C">
      <w:pPr>
        <w:pStyle w:val="ListParagraph"/>
        <w:numPr>
          <w:ilvl w:val="0"/>
          <w:numId w:val="13"/>
        </w:numPr>
        <w:autoSpaceDE w:val="0"/>
        <w:autoSpaceDN w:val="0"/>
        <w:bidi w:val="0"/>
        <w:adjustRightInd w:val="0"/>
        <w:spacing w:after="0" w:line="360" w:lineRule="auto"/>
        <w:jc w:val="both"/>
        <w:rPr>
          <w:rFonts w:asciiTheme="minorBidi" w:hAnsiTheme="minorBidi"/>
          <w:sz w:val="20"/>
          <w:szCs w:val="20"/>
        </w:rPr>
      </w:pPr>
      <w:r w:rsidRPr="00B90ACE">
        <w:rPr>
          <w:rFonts w:asciiTheme="minorBidi" w:hAnsiTheme="minorBidi"/>
          <w:sz w:val="20"/>
          <w:szCs w:val="20"/>
        </w:rPr>
        <w:t xml:space="preserve">Binary correlation was carried out by Spearman correlation test. Results were expressed in the form of correlation coefficient (R) and P-values. The following points are the accepted guidelines for interpreting the correlation coefficient: </w:t>
      </w:r>
    </w:p>
    <w:p w:rsidR="00F74DE4" w:rsidRPr="00B90ACE" w:rsidRDefault="00F74DE4" w:rsidP="00B5186C">
      <w:pPr>
        <w:pStyle w:val="ListParagraph"/>
        <w:autoSpaceDE w:val="0"/>
        <w:autoSpaceDN w:val="0"/>
        <w:bidi w:val="0"/>
        <w:adjustRightInd w:val="0"/>
        <w:spacing w:after="0" w:line="360" w:lineRule="auto"/>
        <w:ind w:left="1440" w:firstLine="720"/>
        <w:jc w:val="both"/>
        <w:rPr>
          <w:rFonts w:asciiTheme="minorBidi" w:hAnsiTheme="minorBidi"/>
          <w:sz w:val="20"/>
          <w:szCs w:val="20"/>
        </w:rPr>
      </w:pPr>
      <w:r w:rsidRPr="00B90ACE">
        <w:rPr>
          <w:rFonts w:asciiTheme="minorBidi" w:hAnsiTheme="minorBidi"/>
          <w:sz w:val="20"/>
          <w:szCs w:val="20"/>
        </w:rPr>
        <w:t xml:space="preserve">0 indicates no linear relationship. </w:t>
      </w:r>
    </w:p>
    <w:p w:rsidR="00F74DE4" w:rsidRPr="00B90ACE" w:rsidRDefault="00F74DE4" w:rsidP="00B5186C">
      <w:pPr>
        <w:pStyle w:val="ListParagraph"/>
        <w:autoSpaceDE w:val="0"/>
        <w:autoSpaceDN w:val="0"/>
        <w:bidi w:val="0"/>
        <w:adjustRightInd w:val="0"/>
        <w:spacing w:after="0" w:line="360" w:lineRule="auto"/>
        <w:ind w:left="1440" w:firstLine="720"/>
        <w:jc w:val="both"/>
        <w:rPr>
          <w:rFonts w:asciiTheme="minorBidi" w:hAnsiTheme="minorBidi"/>
          <w:sz w:val="20"/>
          <w:szCs w:val="20"/>
        </w:rPr>
      </w:pPr>
      <w:r w:rsidRPr="00B90ACE">
        <w:rPr>
          <w:rFonts w:asciiTheme="minorBidi" w:hAnsiTheme="minorBidi"/>
          <w:sz w:val="20"/>
          <w:szCs w:val="20"/>
        </w:rPr>
        <w:t>+1 indicates a perfect positive linear relationship: as one variable increases in its values, the other variable also increases in its values via an exact linear rule.</w:t>
      </w:r>
    </w:p>
    <w:p w:rsidR="00F74DE4" w:rsidRPr="00B90ACE" w:rsidRDefault="00F74DE4" w:rsidP="00B5186C">
      <w:pPr>
        <w:pStyle w:val="ListParagraph"/>
        <w:numPr>
          <w:ilvl w:val="0"/>
          <w:numId w:val="13"/>
        </w:numPr>
        <w:autoSpaceDE w:val="0"/>
        <w:autoSpaceDN w:val="0"/>
        <w:bidi w:val="0"/>
        <w:adjustRightInd w:val="0"/>
        <w:spacing w:after="0" w:line="360" w:lineRule="auto"/>
        <w:jc w:val="both"/>
        <w:rPr>
          <w:rFonts w:asciiTheme="minorBidi" w:hAnsiTheme="minorBidi"/>
          <w:sz w:val="20"/>
          <w:szCs w:val="20"/>
        </w:rPr>
      </w:pPr>
      <w:r w:rsidRPr="00B90ACE">
        <w:rPr>
          <w:rFonts w:asciiTheme="minorBidi" w:hAnsiTheme="minorBidi"/>
          <w:sz w:val="20"/>
          <w:szCs w:val="20"/>
        </w:rPr>
        <w:t>ROC (Receiver Operating Characteristic) curves were drawn for detection of reliability of markers as a diagnostic tool and their best cutoff values were calculated. AUC (area under the curve) was considered if &gt; 0.60.</w:t>
      </w:r>
    </w:p>
    <w:p w:rsidR="000E008C" w:rsidRPr="00B90ACE" w:rsidRDefault="000E008C" w:rsidP="00886584">
      <w:pPr>
        <w:tabs>
          <w:tab w:val="right" w:pos="426"/>
        </w:tabs>
        <w:autoSpaceDE w:val="0"/>
        <w:autoSpaceDN w:val="0"/>
        <w:bidi w:val="0"/>
        <w:adjustRightInd w:val="0"/>
        <w:spacing w:before="120" w:after="120" w:line="360" w:lineRule="auto"/>
        <w:contextualSpacing/>
        <w:jc w:val="both"/>
        <w:rPr>
          <w:rFonts w:asciiTheme="minorBidi" w:eastAsia="Calibri" w:hAnsiTheme="minorBidi"/>
          <w:b/>
          <w:bCs/>
          <w:sz w:val="20"/>
          <w:szCs w:val="20"/>
        </w:rPr>
      </w:pPr>
    </w:p>
    <w:p w:rsidR="00C11366" w:rsidRDefault="00C11366" w:rsidP="000E008C">
      <w:pPr>
        <w:tabs>
          <w:tab w:val="right" w:pos="426"/>
        </w:tabs>
        <w:autoSpaceDE w:val="0"/>
        <w:autoSpaceDN w:val="0"/>
        <w:bidi w:val="0"/>
        <w:adjustRightInd w:val="0"/>
        <w:spacing w:before="120" w:after="120" w:line="360" w:lineRule="auto"/>
        <w:contextualSpacing/>
        <w:jc w:val="both"/>
        <w:rPr>
          <w:rFonts w:asciiTheme="minorBidi" w:eastAsia="Calibri" w:hAnsiTheme="minorBidi"/>
          <w:b/>
          <w:bCs/>
        </w:rPr>
      </w:pPr>
    </w:p>
    <w:p w:rsidR="00C11366" w:rsidRDefault="00C11366" w:rsidP="00C11366">
      <w:pPr>
        <w:tabs>
          <w:tab w:val="right" w:pos="426"/>
        </w:tabs>
        <w:autoSpaceDE w:val="0"/>
        <w:autoSpaceDN w:val="0"/>
        <w:bidi w:val="0"/>
        <w:adjustRightInd w:val="0"/>
        <w:spacing w:before="120" w:after="120" w:line="360" w:lineRule="auto"/>
        <w:contextualSpacing/>
        <w:jc w:val="both"/>
        <w:rPr>
          <w:rFonts w:asciiTheme="minorBidi" w:eastAsia="Calibri" w:hAnsiTheme="minorBidi"/>
          <w:b/>
          <w:bCs/>
        </w:rPr>
      </w:pPr>
    </w:p>
    <w:p w:rsidR="001835B9" w:rsidRPr="00886584" w:rsidRDefault="00886584" w:rsidP="00C11366">
      <w:pPr>
        <w:tabs>
          <w:tab w:val="right" w:pos="426"/>
        </w:tabs>
        <w:autoSpaceDE w:val="0"/>
        <w:autoSpaceDN w:val="0"/>
        <w:bidi w:val="0"/>
        <w:adjustRightInd w:val="0"/>
        <w:spacing w:before="120" w:after="120" w:line="360" w:lineRule="auto"/>
        <w:contextualSpacing/>
        <w:jc w:val="both"/>
        <w:rPr>
          <w:rFonts w:asciiTheme="minorBidi" w:eastAsia="Calibri" w:hAnsiTheme="minorBidi"/>
          <w:b/>
          <w:bCs/>
        </w:rPr>
      </w:pPr>
      <w:r w:rsidRPr="00886584">
        <w:rPr>
          <w:rFonts w:asciiTheme="minorBidi" w:eastAsia="Calibri" w:hAnsiTheme="minorBidi"/>
          <w:b/>
          <w:bCs/>
        </w:rPr>
        <w:t>RESULTS:</w:t>
      </w:r>
    </w:p>
    <w:p w:rsidR="001835B9" w:rsidRPr="00886584" w:rsidRDefault="00E52655" w:rsidP="00886584">
      <w:pPr>
        <w:autoSpaceDE w:val="0"/>
        <w:autoSpaceDN w:val="0"/>
        <w:bidi w:val="0"/>
        <w:adjustRightInd w:val="0"/>
        <w:spacing w:after="0" w:line="360" w:lineRule="auto"/>
        <w:ind w:firstLine="720"/>
        <w:jc w:val="both"/>
        <w:rPr>
          <w:rFonts w:asciiTheme="minorBidi" w:hAnsiTheme="minorBidi"/>
          <w:sz w:val="20"/>
          <w:szCs w:val="20"/>
        </w:rPr>
      </w:pPr>
      <w:r w:rsidRPr="00886584">
        <w:rPr>
          <w:rFonts w:asciiTheme="minorBidi" w:hAnsiTheme="minorBidi"/>
          <w:sz w:val="20"/>
          <w:szCs w:val="20"/>
        </w:rPr>
        <w:t xml:space="preserve">70 patients </w:t>
      </w:r>
      <w:r w:rsidR="00B229D3" w:rsidRPr="00886584">
        <w:rPr>
          <w:rFonts w:asciiTheme="minorBidi" w:hAnsiTheme="minorBidi"/>
          <w:sz w:val="20"/>
          <w:szCs w:val="20"/>
        </w:rPr>
        <w:t xml:space="preserve">(their age mean was 53.23 ± 7.14 and 67.2% were male) </w:t>
      </w:r>
      <w:r w:rsidRPr="00886584">
        <w:rPr>
          <w:rFonts w:asciiTheme="minorBidi" w:hAnsiTheme="minorBidi"/>
          <w:sz w:val="20"/>
          <w:szCs w:val="20"/>
        </w:rPr>
        <w:t>were subjected to</w:t>
      </w:r>
      <w:r w:rsidR="001835B9" w:rsidRPr="00886584">
        <w:rPr>
          <w:rFonts w:asciiTheme="minorBidi" w:hAnsiTheme="minorBidi"/>
          <w:sz w:val="20"/>
          <w:szCs w:val="20"/>
        </w:rPr>
        <w:t xml:space="preserve"> coronar</w:t>
      </w:r>
      <w:r w:rsidR="002625D5" w:rsidRPr="00886584">
        <w:rPr>
          <w:rFonts w:asciiTheme="minorBidi" w:hAnsiTheme="minorBidi"/>
          <w:sz w:val="20"/>
          <w:szCs w:val="20"/>
        </w:rPr>
        <w:t>y angiography the</w:t>
      </w:r>
      <w:r w:rsidRPr="00886584">
        <w:rPr>
          <w:rFonts w:asciiTheme="minorBidi" w:hAnsiTheme="minorBidi"/>
          <w:sz w:val="20"/>
          <w:szCs w:val="20"/>
        </w:rPr>
        <w:t>n according to their results, they</w:t>
      </w:r>
      <w:r w:rsidR="001835B9" w:rsidRPr="00886584">
        <w:rPr>
          <w:rFonts w:asciiTheme="minorBidi" w:hAnsiTheme="minorBidi"/>
          <w:sz w:val="20"/>
          <w:szCs w:val="20"/>
        </w:rPr>
        <w:t xml:space="preserve"> were classified into;</w:t>
      </w:r>
    </w:p>
    <w:p w:rsidR="001835B9" w:rsidRPr="00886584" w:rsidRDefault="001835B9" w:rsidP="00886584">
      <w:pPr>
        <w:autoSpaceDE w:val="0"/>
        <w:autoSpaceDN w:val="0"/>
        <w:bidi w:val="0"/>
        <w:adjustRightInd w:val="0"/>
        <w:spacing w:after="0" w:line="360" w:lineRule="auto"/>
        <w:ind w:firstLine="720"/>
        <w:jc w:val="both"/>
        <w:rPr>
          <w:rFonts w:asciiTheme="minorBidi" w:hAnsiTheme="minorBidi"/>
          <w:sz w:val="20"/>
          <w:szCs w:val="20"/>
        </w:rPr>
      </w:pPr>
      <w:r w:rsidRPr="00886584">
        <w:rPr>
          <w:rFonts w:asciiTheme="minorBidi" w:hAnsiTheme="minorBidi"/>
          <w:sz w:val="20"/>
          <w:szCs w:val="20"/>
        </w:rPr>
        <w:t xml:space="preserve">  -  Sub-group (A): </w:t>
      </w:r>
      <w:r w:rsidR="00E52655" w:rsidRPr="00886584">
        <w:rPr>
          <w:rFonts w:asciiTheme="minorBidi" w:hAnsiTheme="minorBidi"/>
          <w:sz w:val="20"/>
          <w:szCs w:val="20"/>
        </w:rPr>
        <w:t xml:space="preserve">15 </w:t>
      </w:r>
      <w:r w:rsidRPr="00886584">
        <w:rPr>
          <w:rFonts w:asciiTheme="minorBidi" w:hAnsiTheme="minorBidi"/>
          <w:sz w:val="20"/>
          <w:szCs w:val="20"/>
        </w:rPr>
        <w:t xml:space="preserve">patients </w:t>
      </w:r>
      <w:r w:rsidR="005F66BA" w:rsidRPr="00886584">
        <w:rPr>
          <w:rFonts w:asciiTheme="minorBidi" w:hAnsiTheme="minorBidi"/>
          <w:sz w:val="20"/>
          <w:szCs w:val="20"/>
        </w:rPr>
        <w:t xml:space="preserve">(21.4%) </w:t>
      </w:r>
      <w:r w:rsidR="004E33B7" w:rsidRPr="00886584">
        <w:rPr>
          <w:rFonts w:asciiTheme="minorBidi" w:hAnsiTheme="minorBidi"/>
          <w:sz w:val="20"/>
          <w:szCs w:val="20"/>
        </w:rPr>
        <w:t>were found to have significant coronary lesions</w:t>
      </w:r>
      <w:r w:rsidR="00B229D3" w:rsidRPr="00886584">
        <w:rPr>
          <w:rFonts w:asciiTheme="minorBidi" w:hAnsiTheme="minorBidi"/>
          <w:sz w:val="20"/>
          <w:szCs w:val="20"/>
        </w:rPr>
        <w:t xml:space="preserve"> but they had neither</w:t>
      </w:r>
      <w:r w:rsidR="004E33B7" w:rsidRPr="00886584">
        <w:rPr>
          <w:rFonts w:asciiTheme="minorBidi" w:hAnsiTheme="minorBidi"/>
          <w:sz w:val="20"/>
          <w:szCs w:val="20"/>
        </w:rPr>
        <w:t xml:space="preserve"> DM </w:t>
      </w:r>
      <w:r w:rsidR="00B229D3" w:rsidRPr="00886584">
        <w:rPr>
          <w:rFonts w:asciiTheme="minorBidi" w:hAnsiTheme="minorBidi"/>
          <w:sz w:val="20"/>
          <w:szCs w:val="20"/>
        </w:rPr>
        <w:t>n</w:t>
      </w:r>
      <w:r w:rsidR="004E33B7" w:rsidRPr="00886584">
        <w:rPr>
          <w:rFonts w:asciiTheme="minorBidi" w:hAnsiTheme="minorBidi"/>
          <w:sz w:val="20"/>
          <w:szCs w:val="20"/>
        </w:rPr>
        <w:t>or hypertension</w:t>
      </w:r>
      <w:r w:rsidRPr="00886584">
        <w:rPr>
          <w:rFonts w:asciiTheme="minorBidi" w:hAnsiTheme="minorBidi"/>
          <w:sz w:val="20"/>
          <w:szCs w:val="20"/>
        </w:rPr>
        <w:t xml:space="preserve">. </w:t>
      </w:r>
    </w:p>
    <w:p w:rsidR="001835B9" w:rsidRPr="00886584" w:rsidRDefault="001835B9" w:rsidP="00886584">
      <w:pPr>
        <w:autoSpaceDE w:val="0"/>
        <w:autoSpaceDN w:val="0"/>
        <w:bidi w:val="0"/>
        <w:adjustRightInd w:val="0"/>
        <w:spacing w:after="0" w:line="360" w:lineRule="auto"/>
        <w:ind w:firstLine="720"/>
        <w:jc w:val="both"/>
        <w:rPr>
          <w:rFonts w:asciiTheme="minorBidi" w:hAnsiTheme="minorBidi"/>
          <w:sz w:val="20"/>
          <w:szCs w:val="20"/>
        </w:rPr>
      </w:pPr>
      <w:r w:rsidRPr="00886584">
        <w:rPr>
          <w:rFonts w:asciiTheme="minorBidi" w:hAnsiTheme="minorBidi"/>
          <w:sz w:val="20"/>
          <w:szCs w:val="20"/>
        </w:rPr>
        <w:t xml:space="preserve">  -  Sub-group (B):</w:t>
      </w:r>
      <w:r w:rsidR="004E33B7" w:rsidRPr="00886584">
        <w:rPr>
          <w:rFonts w:asciiTheme="minorBidi" w:hAnsiTheme="minorBidi"/>
          <w:sz w:val="20"/>
          <w:szCs w:val="20"/>
        </w:rPr>
        <w:t xml:space="preserve"> 45 patients </w:t>
      </w:r>
      <w:r w:rsidR="005F66BA" w:rsidRPr="00886584">
        <w:rPr>
          <w:rFonts w:asciiTheme="minorBidi" w:hAnsiTheme="minorBidi"/>
          <w:sz w:val="20"/>
          <w:szCs w:val="20"/>
        </w:rPr>
        <w:t xml:space="preserve">(64.3%) </w:t>
      </w:r>
      <w:r w:rsidR="004E33B7" w:rsidRPr="00886584">
        <w:rPr>
          <w:rFonts w:asciiTheme="minorBidi" w:hAnsiTheme="minorBidi"/>
          <w:sz w:val="20"/>
          <w:szCs w:val="20"/>
        </w:rPr>
        <w:t>were found to have significant coronary lesions and had DM and/or hypertension</w:t>
      </w:r>
      <w:r w:rsidRPr="00886584">
        <w:rPr>
          <w:rFonts w:asciiTheme="minorBidi" w:hAnsiTheme="minorBidi"/>
          <w:sz w:val="20"/>
          <w:szCs w:val="20"/>
        </w:rPr>
        <w:t xml:space="preserve">. </w:t>
      </w:r>
    </w:p>
    <w:p w:rsidR="00F576C1" w:rsidRPr="00886584" w:rsidRDefault="00A52BE9" w:rsidP="00886584">
      <w:pPr>
        <w:autoSpaceDE w:val="0"/>
        <w:autoSpaceDN w:val="0"/>
        <w:bidi w:val="0"/>
        <w:adjustRightInd w:val="0"/>
        <w:spacing w:after="0" w:line="360" w:lineRule="auto"/>
        <w:ind w:firstLine="720"/>
        <w:jc w:val="both"/>
        <w:rPr>
          <w:rFonts w:asciiTheme="minorBidi" w:hAnsiTheme="minorBidi"/>
          <w:sz w:val="20"/>
          <w:szCs w:val="20"/>
        </w:rPr>
      </w:pPr>
      <w:r w:rsidRPr="00886584">
        <w:rPr>
          <w:rFonts w:asciiTheme="minorBidi" w:hAnsiTheme="minorBidi"/>
          <w:sz w:val="20"/>
          <w:szCs w:val="20"/>
        </w:rPr>
        <w:lastRenderedPageBreak/>
        <w:t xml:space="preserve">    -</w:t>
      </w:r>
      <w:r w:rsidR="001835B9" w:rsidRPr="00886584">
        <w:rPr>
          <w:rFonts w:asciiTheme="minorBidi" w:hAnsiTheme="minorBidi"/>
          <w:sz w:val="20"/>
          <w:szCs w:val="20"/>
        </w:rPr>
        <w:t xml:space="preserve"> Sub-group (C): </w:t>
      </w:r>
      <w:r w:rsidR="004E33B7" w:rsidRPr="00886584">
        <w:rPr>
          <w:rFonts w:asciiTheme="minorBidi" w:hAnsiTheme="minorBidi"/>
          <w:sz w:val="20"/>
          <w:szCs w:val="20"/>
        </w:rPr>
        <w:t xml:space="preserve">10 Subjects </w:t>
      </w:r>
      <w:r w:rsidR="005F66BA" w:rsidRPr="00886584">
        <w:rPr>
          <w:rFonts w:asciiTheme="minorBidi" w:hAnsiTheme="minorBidi"/>
          <w:sz w:val="20"/>
          <w:szCs w:val="20"/>
        </w:rPr>
        <w:t xml:space="preserve">(14.3%) </w:t>
      </w:r>
      <w:r w:rsidR="004E33B7" w:rsidRPr="00886584">
        <w:rPr>
          <w:rFonts w:asciiTheme="minorBidi" w:hAnsiTheme="minorBidi"/>
          <w:sz w:val="20"/>
          <w:szCs w:val="20"/>
        </w:rPr>
        <w:t>were found to have</w:t>
      </w:r>
      <w:r w:rsidR="001835B9" w:rsidRPr="00886584">
        <w:rPr>
          <w:rFonts w:asciiTheme="minorBidi" w:hAnsiTheme="minorBidi"/>
          <w:sz w:val="20"/>
          <w:szCs w:val="20"/>
        </w:rPr>
        <w:t xml:space="preserve"> normal angiographic findings but </w:t>
      </w:r>
      <w:r w:rsidR="004E33B7" w:rsidRPr="00886584">
        <w:rPr>
          <w:rFonts w:asciiTheme="minorBidi" w:hAnsiTheme="minorBidi"/>
          <w:sz w:val="20"/>
          <w:szCs w:val="20"/>
        </w:rPr>
        <w:t xml:space="preserve">they </w:t>
      </w:r>
      <w:r w:rsidR="00DA644A" w:rsidRPr="00886584">
        <w:rPr>
          <w:rFonts w:asciiTheme="minorBidi" w:hAnsiTheme="minorBidi"/>
          <w:sz w:val="20"/>
          <w:szCs w:val="20"/>
        </w:rPr>
        <w:t>had</w:t>
      </w:r>
      <w:r w:rsidR="001835B9" w:rsidRPr="00886584">
        <w:rPr>
          <w:rFonts w:asciiTheme="minorBidi" w:hAnsiTheme="minorBidi"/>
          <w:sz w:val="20"/>
          <w:szCs w:val="20"/>
        </w:rPr>
        <w:t xml:space="preserve"> </w:t>
      </w:r>
      <w:r w:rsidR="004E33B7" w:rsidRPr="00886584">
        <w:rPr>
          <w:rFonts w:asciiTheme="minorBidi" w:hAnsiTheme="minorBidi"/>
          <w:sz w:val="20"/>
          <w:szCs w:val="20"/>
        </w:rPr>
        <w:t>DM and/ or hypertension</w:t>
      </w:r>
      <w:r w:rsidR="001835B9" w:rsidRPr="00886584">
        <w:rPr>
          <w:rFonts w:asciiTheme="minorBidi" w:hAnsiTheme="minorBidi"/>
          <w:sz w:val="20"/>
          <w:szCs w:val="20"/>
        </w:rPr>
        <w:t xml:space="preserve">. </w:t>
      </w:r>
      <w:r w:rsidR="00DA644A" w:rsidRPr="00886584">
        <w:rPr>
          <w:rFonts w:asciiTheme="minorBidi" w:hAnsiTheme="minorBidi"/>
          <w:sz w:val="20"/>
          <w:szCs w:val="20"/>
        </w:rPr>
        <w:t>In addition there was a group of 12 volunteers</w:t>
      </w:r>
      <w:r w:rsidR="00B229D3" w:rsidRPr="00886584">
        <w:rPr>
          <w:rFonts w:asciiTheme="minorBidi" w:hAnsiTheme="minorBidi"/>
          <w:sz w:val="20"/>
          <w:szCs w:val="20"/>
        </w:rPr>
        <w:t xml:space="preserve"> (50% male)</w:t>
      </w:r>
      <w:r w:rsidR="00DA644A" w:rsidRPr="00886584">
        <w:rPr>
          <w:rFonts w:asciiTheme="minorBidi" w:hAnsiTheme="minorBidi"/>
          <w:sz w:val="20"/>
          <w:szCs w:val="20"/>
        </w:rPr>
        <w:t xml:space="preserve"> who were not diabetic, hypertensive </w:t>
      </w:r>
      <w:r w:rsidR="00F576C1" w:rsidRPr="00886584">
        <w:rPr>
          <w:rFonts w:asciiTheme="minorBidi" w:hAnsiTheme="minorBidi"/>
          <w:sz w:val="20"/>
          <w:szCs w:val="20"/>
        </w:rPr>
        <w:t>or ischemic as a control group for the level of FGF-21.</w:t>
      </w:r>
    </w:p>
    <w:p w:rsidR="0088570D" w:rsidRPr="000E008C" w:rsidRDefault="0088570D" w:rsidP="00C567D2">
      <w:pPr>
        <w:autoSpaceDE w:val="0"/>
        <w:autoSpaceDN w:val="0"/>
        <w:bidi w:val="0"/>
        <w:adjustRightInd w:val="0"/>
        <w:spacing w:after="0" w:line="360" w:lineRule="auto"/>
        <w:jc w:val="both"/>
        <w:rPr>
          <w:rFonts w:asciiTheme="minorBidi" w:hAnsiTheme="minorBidi"/>
          <w:sz w:val="20"/>
          <w:szCs w:val="20"/>
        </w:rPr>
      </w:pPr>
    </w:p>
    <w:p w:rsidR="00756BE2" w:rsidRDefault="00C732B1" w:rsidP="00C567D2">
      <w:pPr>
        <w:pStyle w:val="NoSpacing"/>
        <w:bidi w:val="0"/>
      </w:pPr>
      <w:r>
        <w:rPr>
          <w:rFonts w:asciiTheme="majorBidi" w:hAnsiTheme="majorBidi" w:cstheme="majorBidi"/>
          <w:noProof/>
        </w:rPr>
        <w:pict>
          <v:roundrect id="_x0000_s1026" style="position:absolute;margin-left:40.2pt;margin-top:6.35pt;width:96.85pt;height:67.65pt;z-index:251658240" arcsize="10923f" fillcolor="#c0504d [3205]" stroked="f" strokecolor="#f2f2f2 [3041]" strokeweight="3pt">
            <v:shadow on="t" type="perspective" color="#622423 [1605]" opacity=".5" offset="1pt" offset2="-1pt"/>
            <w10:wrap anchorx="page"/>
          </v:roundrect>
        </w:pict>
      </w:r>
      <w:r>
        <w:rPr>
          <w:noProof/>
        </w:rPr>
        <w:pict>
          <v:roundrect id="_x0000_s1029" style="position:absolute;margin-left:32.25pt;margin-top:6.35pt;width:101.55pt;height:67.65pt;z-index:251659264" arcsize="10923f" fillcolor="#c0504d [3205]" stroked="f" strokecolor="#f2f2f2 [3041]" strokeweight="3pt">
            <v:shadow on="t" type="perspective" color="#622423 [1605]" opacity=".5" offset="1pt" offset2="-1pt"/>
            <v:textbox>
              <w:txbxContent>
                <w:p w:rsidR="003C2DF1" w:rsidRPr="00BB4067" w:rsidRDefault="003C2DF1" w:rsidP="00BB4067">
                  <w:pPr>
                    <w:jc w:val="center"/>
                    <w:rPr>
                      <w:rFonts w:asciiTheme="majorBidi" w:hAnsiTheme="majorBidi" w:cstheme="majorBidi"/>
                      <w:b/>
                      <w:bCs/>
                      <w:color w:val="FFFFFF" w:themeColor="background1"/>
                      <w:sz w:val="24"/>
                      <w:szCs w:val="24"/>
                      <w:rtl/>
                      <w:lang w:bidi="ar-EG"/>
                    </w:rPr>
                  </w:pPr>
                  <w:r w:rsidRPr="00BB4067">
                    <w:rPr>
                      <w:rFonts w:asciiTheme="majorBidi" w:hAnsiTheme="majorBidi" w:cstheme="majorBidi"/>
                      <w:b/>
                      <w:bCs/>
                      <w:color w:val="FFFFFF" w:themeColor="background1"/>
                      <w:sz w:val="24"/>
                      <w:szCs w:val="24"/>
                      <w:lang w:bidi="ar-EG"/>
                    </w:rPr>
                    <w:t>Control group:</w:t>
                  </w:r>
                </w:p>
                <w:p w:rsidR="003C2DF1" w:rsidRPr="00BB4067" w:rsidRDefault="003C2DF1" w:rsidP="00BB4067">
                  <w:pPr>
                    <w:jc w:val="center"/>
                    <w:rPr>
                      <w:rFonts w:asciiTheme="majorBidi" w:hAnsiTheme="majorBidi" w:cstheme="majorBidi"/>
                      <w:b/>
                      <w:bCs/>
                      <w:color w:val="FFFFFF" w:themeColor="background1"/>
                      <w:sz w:val="24"/>
                      <w:szCs w:val="24"/>
                      <w:rtl/>
                      <w:lang w:bidi="ar-EG"/>
                    </w:rPr>
                  </w:pPr>
                  <w:r w:rsidRPr="00BB4067">
                    <w:rPr>
                      <w:rFonts w:asciiTheme="majorBidi" w:hAnsiTheme="majorBidi" w:cstheme="majorBidi"/>
                      <w:b/>
                      <w:bCs/>
                      <w:color w:val="FFFFFF" w:themeColor="background1"/>
                      <w:sz w:val="24"/>
                      <w:szCs w:val="24"/>
                      <w:lang w:bidi="ar-EG"/>
                    </w:rPr>
                    <w:t>12  normal volunteers</w:t>
                  </w:r>
                </w:p>
                <w:p w:rsidR="003C2DF1" w:rsidRPr="00BB4067" w:rsidRDefault="003C2DF1" w:rsidP="00BB4067">
                  <w:pPr>
                    <w:ind w:left="720"/>
                    <w:rPr>
                      <w:rtl/>
                      <w:lang w:bidi="ar-EG"/>
                    </w:rPr>
                  </w:pPr>
                </w:p>
                <w:p w:rsidR="003C2DF1" w:rsidRDefault="003C2DF1">
                  <w:pPr>
                    <w:rPr>
                      <w:lang w:bidi="ar-EG"/>
                    </w:rPr>
                  </w:pPr>
                </w:p>
              </w:txbxContent>
            </v:textbox>
            <w10:wrap anchorx="page"/>
          </v:roundrect>
        </w:pict>
      </w:r>
      <w:r w:rsidR="00BB4067">
        <w:rPr>
          <w:noProof/>
        </w:rPr>
        <w:drawing>
          <wp:inline distT="0" distB="0" distL="0" distR="0">
            <wp:extent cx="5459105" cy="2920621"/>
            <wp:effectExtent l="0" t="0" r="0"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D52AE" w:rsidRDefault="00701E7C" w:rsidP="00701E7C">
      <w:pPr>
        <w:autoSpaceDE w:val="0"/>
        <w:autoSpaceDN w:val="0"/>
        <w:bidi w:val="0"/>
        <w:adjustRightInd w:val="0"/>
        <w:spacing w:after="0" w:line="360" w:lineRule="auto"/>
        <w:rPr>
          <w:rFonts w:ascii="Times New Roman" w:eastAsia="Calibri" w:hAnsi="Times New Roman" w:cs="Times New Roman"/>
          <w:b/>
          <w:bCs/>
          <w:i/>
          <w:iCs/>
          <w:sz w:val="24"/>
          <w:szCs w:val="24"/>
        </w:rPr>
      </w:pPr>
      <w:r>
        <w:rPr>
          <w:rFonts w:ascii="Times New Roman" w:eastAsia="Calibri" w:hAnsi="Times New Roman" w:cs="Times New Roman"/>
          <w:sz w:val="24"/>
          <w:szCs w:val="24"/>
        </w:rPr>
        <w:t xml:space="preserve">                               </w:t>
      </w:r>
    </w:p>
    <w:p w:rsidR="00701E7C" w:rsidRDefault="003D52AE" w:rsidP="003D52AE">
      <w:pPr>
        <w:autoSpaceDE w:val="0"/>
        <w:autoSpaceDN w:val="0"/>
        <w:bidi w:val="0"/>
        <w:adjustRightInd w:val="0"/>
        <w:spacing w:after="0" w:line="360" w:lineRule="auto"/>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 xml:space="preserve">                                     </w:t>
      </w:r>
      <w:r w:rsidR="009F2A78">
        <w:rPr>
          <w:rFonts w:ascii="Times New Roman" w:eastAsia="Calibri" w:hAnsi="Times New Roman" w:cs="Times New Roman"/>
          <w:b/>
          <w:bCs/>
          <w:i/>
          <w:iCs/>
          <w:sz w:val="24"/>
          <w:szCs w:val="24"/>
        </w:rPr>
        <w:t>Figure (1):</w:t>
      </w:r>
      <w:r>
        <w:rPr>
          <w:rFonts w:ascii="Times New Roman" w:eastAsia="Calibri" w:hAnsi="Times New Roman" w:cs="Times New Roman"/>
          <w:b/>
          <w:bCs/>
          <w:i/>
          <w:iCs/>
          <w:sz w:val="24"/>
          <w:szCs w:val="24"/>
        </w:rPr>
        <w:t xml:space="preserve"> </w:t>
      </w:r>
      <w:r w:rsidR="005F46AF" w:rsidRPr="005F46AF">
        <w:rPr>
          <w:rFonts w:ascii="Times New Roman" w:eastAsia="Calibri" w:hAnsi="Times New Roman" w:cs="Times New Roman"/>
          <w:b/>
          <w:bCs/>
          <w:i/>
          <w:iCs/>
          <w:sz w:val="24"/>
          <w:szCs w:val="24"/>
        </w:rPr>
        <w:t>Hierarchy of different groups of the study</w:t>
      </w:r>
    </w:p>
    <w:p w:rsidR="00DE2D79" w:rsidRPr="000E008C" w:rsidRDefault="00760595" w:rsidP="000E008C">
      <w:pPr>
        <w:autoSpaceDE w:val="0"/>
        <w:autoSpaceDN w:val="0"/>
        <w:bidi w:val="0"/>
        <w:adjustRightInd w:val="0"/>
        <w:spacing w:after="0" w:line="360" w:lineRule="auto"/>
        <w:ind w:firstLine="720"/>
        <w:jc w:val="both"/>
        <w:rPr>
          <w:rFonts w:ascii="Arial" w:hAnsi="Arial" w:cs="Arial"/>
          <w:sz w:val="20"/>
          <w:szCs w:val="20"/>
        </w:rPr>
      </w:pPr>
      <w:r w:rsidRPr="000E008C">
        <w:rPr>
          <w:rFonts w:ascii="Arial" w:hAnsi="Arial" w:cs="Arial"/>
          <w:sz w:val="20"/>
          <w:szCs w:val="20"/>
        </w:rPr>
        <w:t xml:space="preserve">When we compare the control group with </w:t>
      </w:r>
      <w:r w:rsidR="00664621" w:rsidRPr="000E008C">
        <w:rPr>
          <w:rFonts w:ascii="Arial" w:hAnsi="Arial" w:cs="Arial"/>
          <w:sz w:val="20"/>
          <w:szCs w:val="20"/>
        </w:rPr>
        <w:t>the patients</w:t>
      </w:r>
      <w:r w:rsidR="0058555A" w:rsidRPr="000E008C">
        <w:rPr>
          <w:rFonts w:ascii="Arial" w:hAnsi="Arial" w:cs="Arial"/>
          <w:sz w:val="20"/>
          <w:szCs w:val="20"/>
        </w:rPr>
        <w:t xml:space="preserve"> group</w:t>
      </w:r>
      <w:r w:rsidR="00664621" w:rsidRPr="000E008C">
        <w:rPr>
          <w:rFonts w:ascii="Arial" w:hAnsi="Arial" w:cs="Arial"/>
          <w:sz w:val="20"/>
          <w:szCs w:val="20"/>
        </w:rPr>
        <w:t xml:space="preserve"> </w:t>
      </w:r>
      <w:r w:rsidR="00DA644A" w:rsidRPr="000E008C">
        <w:rPr>
          <w:rFonts w:ascii="Arial" w:hAnsi="Arial" w:cs="Arial"/>
          <w:sz w:val="20"/>
          <w:szCs w:val="20"/>
        </w:rPr>
        <w:t xml:space="preserve">who </w:t>
      </w:r>
      <w:r w:rsidR="00664621" w:rsidRPr="000E008C">
        <w:rPr>
          <w:rFonts w:ascii="Arial" w:hAnsi="Arial" w:cs="Arial"/>
          <w:sz w:val="20"/>
          <w:szCs w:val="20"/>
        </w:rPr>
        <w:t>subjected to coronary angiography</w:t>
      </w:r>
      <w:r w:rsidRPr="000E008C">
        <w:rPr>
          <w:rFonts w:ascii="Arial" w:hAnsi="Arial" w:cs="Arial"/>
          <w:sz w:val="20"/>
          <w:szCs w:val="20"/>
        </w:rPr>
        <w:t>; 32.9% of the patients</w:t>
      </w:r>
      <w:r w:rsidR="00664621" w:rsidRPr="000E008C">
        <w:rPr>
          <w:rFonts w:ascii="Arial" w:hAnsi="Arial" w:cs="Arial"/>
          <w:sz w:val="20"/>
          <w:szCs w:val="20"/>
        </w:rPr>
        <w:t xml:space="preserve"> were female</w:t>
      </w:r>
      <w:r w:rsidRPr="000E008C">
        <w:rPr>
          <w:rFonts w:ascii="Arial" w:hAnsi="Arial" w:cs="Arial"/>
          <w:sz w:val="20"/>
          <w:szCs w:val="20"/>
        </w:rPr>
        <w:t xml:space="preserve"> while 50% of the control group </w:t>
      </w:r>
      <w:r w:rsidR="00664621" w:rsidRPr="000E008C">
        <w:rPr>
          <w:rFonts w:ascii="Arial" w:hAnsi="Arial" w:cs="Arial"/>
          <w:sz w:val="20"/>
          <w:szCs w:val="20"/>
        </w:rPr>
        <w:t>were female,</w:t>
      </w:r>
      <w:r w:rsidRPr="000E008C">
        <w:rPr>
          <w:rFonts w:ascii="Arial" w:hAnsi="Arial" w:cs="Arial"/>
          <w:sz w:val="20"/>
          <w:szCs w:val="20"/>
        </w:rPr>
        <w:t xml:space="preserve"> P-value=</w:t>
      </w:r>
      <w:r w:rsidR="0058555A" w:rsidRPr="000E008C">
        <w:rPr>
          <w:rFonts w:ascii="Arial" w:hAnsi="Arial" w:cs="Arial"/>
          <w:sz w:val="20"/>
          <w:szCs w:val="20"/>
        </w:rPr>
        <w:t>0.52</w:t>
      </w:r>
      <w:r w:rsidR="00B229D3" w:rsidRPr="000E008C">
        <w:rPr>
          <w:rFonts w:ascii="Arial" w:hAnsi="Arial" w:cs="Arial"/>
          <w:sz w:val="20"/>
          <w:szCs w:val="20"/>
        </w:rPr>
        <w:t xml:space="preserve">, other general characteristics and laboratory findings </w:t>
      </w:r>
      <w:r w:rsidR="001B09CD" w:rsidRPr="000E008C">
        <w:rPr>
          <w:rFonts w:ascii="Arial" w:hAnsi="Arial" w:cs="Arial"/>
          <w:sz w:val="20"/>
          <w:szCs w:val="20"/>
        </w:rPr>
        <w:t>between patient and control group are shown in table (1).</w:t>
      </w:r>
    </w:p>
    <w:p w:rsidR="00965906" w:rsidRPr="000E008C" w:rsidRDefault="00965906" w:rsidP="000E008C">
      <w:pPr>
        <w:autoSpaceDE w:val="0"/>
        <w:autoSpaceDN w:val="0"/>
        <w:bidi w:val="0"/>
        <w:adjustRightInd w:val="0"/>
        <w:spacing w:after="0" w:line="360" w:lineRule="auto"/>
        <w:ind w:firstLine="720"/>
        <w:jc w:val="both"/>
        <w:rPr>
          <w:rFonts w:asciiTheme="minorBidi" w:hAnsiTheme="minorBidi"/>
          <w:sz w:val="20"/>
          <w:szCs w:val="20"/>
        </w:rPr>
      </w:pPr>
    </w:p>
    <w:p w:rsidR="00965906" w:rsidRDefault="00965906" w:rsidP="008A3B33">
      <w:pPr>
        <w:autoSpaceDE w:val="0"/>
        <w:autoSpaceDN w:val="0"/>
        <w:bidi w:val="0"/>
        <w:adjustRightInd w:val="0"/>
        <w:spacing w:after="0" w:line="360" w:lineRule="auto"/>
        <w:jc w:val="both"/>
        <w:rPr>
          <w:rFonts w:ascii="Times New Roman" w:eastAsia="Calibri" w:hAnsi="Times New Roman" w:cs="Times New Roman"/>
          <w:b/>
          <w:bCs/>
          <w:sz w:val="24"/>
          <w:szCs w:val="24"/>
        </w:rPr>
      </w:pPr>
      <w:r w:rsidRPr="005F46AF">
        <w:rPr>
          <w:rFonts w:ascii="Times New Roman" w:eastAsia="Calibri" w:hAnsi="Times New Roman" w:cs="Times New Roman"/>
          <w:b/>
          <w:bCs/>
          <w:sz w:val="24"/>
          <w:szCs w:val="24"/>
        </w:rPr>
        <w:t>Table (1): comparison between the patient and control group:</w:t>
      </w:r>
    </w:p>
    <w:tbl>
      <w:tblPr>
        <w:tblStyle w:val="TableGrid"/>
        <w:tblW w:w="0" w:type="auto"/>
        <w:tblLook w:val="04A0" w:firstRow="1" w:lastRow="0" w:firstColumn="1" w:lastColumn="0" w:noHBand="0" w:noVBand="1"/>
      </w:tblPr>
      <w:tblGrid>
        <w:gridCol w:w="2130"/>
        <w:gridCol w:w="2130"/>
        <w:gridCol w:w="2131"/>
        <w:gridCol w:w="2131"/>
      </w:tblGrid>
      <w:tr w:rsidR="001B09CD" w:rsidTr="001B09CD">
        <w:tc>
          <w:tcPr>
            <w:tcW w:w="2130" w:type="dxa"/>
          </w:tcPr>
          <w:p w:rsidR="001B09CD" w:rsidRDefault="001B09CD" w:rsidP="00C567D2">
            <w:pPr>
              <w:autoSpaceDE w:val="0"/>
              <w:autoSpaceDN w:val="0"/>
              <w:bidi w:val="0"/>
              <w:adjustRightInd w:val="0"/>
              <w:spacing w:line="360" w:lineRule="auto"/>
              <w:jc w:val="both"/>
              <w:rPr>
                <w:rFonts w:ascii="Times New Roman" w:eastAsia="Calibri" w:hAnsi="Times New Roman" w:cs="Times New Roman"/>
                <w:sz w:val="24"/>
                <w:szCs w:val="24"/>
              </w:rPr>
            </w:pPr>
          </w:p>
          <w:p w:rsidR="00947521" w:rsidRDefault="00947521" w:rsidP="00947521">
            <w:pPr>
              <w:autoSpaceDE w:val="0"/>
              <w:autoSpaceDN w:val="0"/>
              <w:bidi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130" w:type="dxa"/>
          </w:tcPr>
          <w:p w:rsidR="001B09CD" w:rsidRPr="006A5072" w:rsidRDefault="001B09CD" w:rsidP="00C567D2">
            <w:pPr>
              <w:autoSpaceDE w:val="0"/>
              <w:autoSpaceDN w:val="0"/>
              <w:bidi w:val="0"/>
              <w:adjustRightInd w:val="0"/>
              <w:spacing w:line="360" w:lineRule="auto"/>
              <w:jc w:val="both"/>
              <w:rPr>
                <w:rFonts w:ascii="Times New Roman" w:eastAsia="Calibri" w:hAnsi="Times New Roman" w:cs="Times New Roman"/>
                <w:b/>
                <w:bCs/>
                <w:i/>
                <w:iCs/>
                <w:sz w:val="24"/>
                <w:szCs w:val="24"/>
              </w:rPr>
            </w:pPr>
            <w:r w:rsidRPr="006A5072">
              <w:rPr>
                <w:rFonts w:ascii="Times New Roman" w:eastAsia="Calibri" w:hAnsi="Times New Roman" w:cs="Times New Roman"/>
                <w:b/>
                <w:bCs/>
                <w:i/>
                <w:iCs/>
                <w:sz w:val="24"/>
                <w:szCs w:val="24"/>
              </w:rPr>
              <w:t>Patient group</w:t>
            </w:r>
          </w:p>
          <w:p w:rsidR="001B09CD" w:rsidRPr="006A5072" w:rsidRDefault="001B09CD" w:rsidP="00C567D2">
            <w:pPr>
              <w:autoSpaceDE w:val="0"/>
              <w:autoSpaceDN w:val="0"/>
              <w:bidi w:val="0"/>
              <w:adjustRightInd w:val="0"/>
              <w:spacing w:line="360" w:lineRule="auto"/>
              <w:jc w:val="both"/>
              <w:rPr>
                <w:rFonts w:ascii="Times New Roman" w:eastAsia="Calibri" w:hAnsi="Times New Roman" w:cs="Times New Roman"/>
                <w:b/>
                <w:bCs/>
                <w:i/>
                <w:iCs/>
                <w:sz w:val="24"/>
                <w:szCs w:val="24"/>
              </w:rPr>
            </w:pPr>
            <w:r w:rsidRPr="006A5072">
              <w:rPr>
                <w:rFonts w:ascii="Times New Roman" w:eastAsia="Calibri" w:hAnsi="Times New Roman" w:cs="Times New Roman"/>
                <w:b/>
                <w:bCs/>
                <w:i/>
                <w:iCs/>
                <w:sz w:val="24"/>
                <w:szCs w:val="24"/>
              </w:rPr>
              <w:t>(n=70)</w:t>
            </w:r>
          </w:p>
        </w:tc>
        <w:tc>
          <w:tcPr>
            <w:tcW w:w="2131" w:type="dxa"/>
          </w:tcPr>
          <w:p w:rsidR="001B09CD" w:rsidRPr="006A5072" w:rsidRDefault="001B09CD" w:rsidP="00C567D2">
            <w:pPr>
              <w:autoSpaceDE w:val="0"/>
              <w:autoSpaceDN w:val="0"/>
              <w:bidi w:val="0"/>
              <w:adjustRightInd w:val="0"/>
              <w:spacing w:line="360" w:lineRule="auto"/>
              <w:jc w:val="both"/>
              <w:rPr>
                <w:rFonts w:ascii="Times New Roman" w:eastAsia="Calibri" w:hAnsi="Times New Roman" w:cs="Times New Roman"/>
                <w:b/>
                <w:bCs/>
                <w:i/>
                <w:iCs/>
                <w:sz w:val="24"/>
                <w:szCs w:val="24"/>
              </w:rPr>
            </w:pPr>
            <w:r w:rsidRPr="006A5072">
              <w:rPr>
                <w:rFonts w:ascii="Times New Roman" w:eastAsia="Calibri" w:hAnsi="Times New Roman" w:cs="Times New Roman"/>
                <w:b/>
                <w:bCs/>
                <w:i/>
                <w:iCs/>
                <w:sz w:val="24"/>
                <w:szCs w:val="24"/>
              </w:rPr>
              <w:t>Control group</w:t>
            </w:r>
          </w:p>
          <w:p w:rsidR="001B09CD" w:rsidRPr="006A5072" w:rsidRDefault="001B09CD" w:rsidP="00C567D2">
            <w:pPr>
              <w:autoSpaceDE w:val="0"/>
              <w:autoSpaceDN w:val="0"/>
              <w:bidi w:val="0"/>
              <w:adjustRightInd w:val="0"/>
              <w:spacing w:line="360" w:lineRule="auto"/>
              <w:jc w:val="both"/>
              <w:rPr>
                <w:rFonts w:ascii="Times New Roman" w:eastAsia="Calibri" w:hAnsi="Times New Roman" w:cs="Times New Roman"/>
                <w:b/>
                <w:bCs/>
                <w:i/>
                <w:iCs/>
                <w:sz w:val="24"/>
                <w:szCs w:val="24"/>
              </w:rPr>
            </w:pPr>
            <w:r w:rsidRPr="006A5072">
              <w:rPr>
                <w:rFonts w:ascii="Times New Roman" w:eastAsia="Calibri" w:hAnsi="Times New Roman" w:cs="Times New Roman"/>
                <w:b/>
                <w:bCs/>
                <w:i/>
                <w:iCs/>
                <w:sz w:val="24"/>
                <w:szCs w:val="24"/>
              </w:rPr>
              <w:t>(n=12)</w:t>
            </w:r>
          </w:p>
        </w:tc>
        <w:tc>
          <w:tcPr>
            <w:tcW w:w="2131" w:type="dxa"/>
          </w:tcPr>
          <w:p w:rsidR="001B09CD" w:rsidRPr="006A5072" w:rsidRDefault="001B09CD" w:rsidP="00C567D2">
            <w:pPr>
              <w:autoSpaceDE w:val="0"/>
              <w:autoSpaceDN w:val="0"/>
              <w:bidi w:val="0"/>
              <w:adjustRightInd w:val="0"/>
              <w:spacing w:line="360" w:lineRule="auto"/>
              <w:jc w:val="both"/>
              <w:rPr>
                <w:rFonts w:ascii="Times New Roman" w:eastAsia="Calibri" w:hAnsi="Times New Roman" w:cs="Times New Roman"/>
                <w:b/>
                <w:bCs/>
                <w:i/>
                <w:iCs/>
                <w:sz w:val="24"/>
                <w:szCs w:val="24"/>
              </w:rPr>
            </w:pPr>
            <w:r w:rsidRPr="006A5072">
              <w:rPr>
                <w:rFonts w:ascii="Times New Roman" w:eastAsia="Calibri" w:hAnsi="Times New Roman" w:cs="Times New Roman"/>
                <w:b/>
                <w:bCs/>
                <w:i/>
                <w:iCs/>
                <w:sz w:val="24"/>
                <w:szCs w:val="24"/>
              </w:rPr>
              <w:t>p- value</w:t>
            </w:r>
          </w:p>
        </w:tc>
      </w:tr>
      <w:tr w:rsidR="002F5F2F" w:rsidTr="00C7428F">
        <w:tc>
          <w:tcPr>
            <w:tcW w:w="2130" w:type="dxa"/>
          </w:tcPr>
          <w:p w:rsidR="002F5F2F" w:rsidRPr="006A5072" w:rsidRDefault="002F5F2F" w:rsidP="00C567D2">
            <w:pPr>
              <w:autoSpaceDE w:val="0"/>
              <w:autoSpaceDN w:val="0"/>
              <w:bidi w:val="0"/>
              <w:adjustRightInd w:val="0"/>
              <w:spacing w:line="360" w:lineRule="auto"/>
              <w:jc w:val="both"/>
              <w:rPr>
                <w:rFonts w:ascii="Times New Roman" w:eastAsia="Calibri" w:hAnsi="Times New Roman" w:cs="Times New Roman"/>
                <w:b/>
                <w:bCs/>
                <w:i/>
                <w:iCs/>
                <w:sz w:val="24"/>
                <w:szCs w:val="24"/>
              </w:rPr>
            </w:pPr>
            <w:r w:rsidRPr="006A5072">
              <w:rPr>
                <w:rFonts w:ascii="Times New Roman" w:eastAsia="Calibri" w:hAnsi="Times New Roman" w:cs="Times New Roman"/>
                <w:b/>
                <w:bCs/>
                <w:i/>
                <w:iCs/>
                <w:sz w:val="24"/>
                <w:szCs w:val="24"/>
              </w:rPr>
              <w:t>Age  (yrs)</w:t>
            </w:r>
          </w:p>
        </w:tc>
        <w:tc>
          <w:tcPr>
            <w:tcW w:w="2130" w:type="dxa"/>
          </w:tcPr>
          <w:p w:rsidR="002F5F2F" w:rsidRPr="00C66790" w:rsidRDefault="002F5F2F" w:rsidP="00C567D2">
            <w:pPr>
              <w:bidi w:val="0"/>
              <w:spacing w:line="360" w:lineRule="auto"/>
              <w:jc w:val="both"/>
              <w:rPr>
                <w:rFonts w:ascii="Times New Roman" w:eastAsiaTheme="minorEastAsia" w:hAnsi="Times New Roman" w:cs="Times New Roman"/>
                <w:sz w:val="24"/>
                <w:szCs w:val="24"/>
              </w:rPr>
            </w:pPr>
            <w:r w:rsidRPr="00302D5A">
              <w:rPr>
                <w:rFonts w:ascii="Times New Roman" w:hAnsi="Times New Roman" w:cs="Times New Roman"/>
                <w:color w:val="000000"/>
                <w:sz w:val="24"/>
                <w:szCs w:val="24"/>
              </w:rPr>
              <w:t>53.2</w:t>
            </w:r>
            <w:r w:rsidRPr="00302D5A">
              <w:rPr>
                <w:sz w:val="24"/>
                <w:szCs w:val="24"/>
              </w:rPr>
              <w:t xml:space="preserve"> </w:t>
            </w:r>
            <w:r w:rsidRPr="00302D5A">
              <w:rPr>
                <w:rFonts w:ascii="Times New Roman" w:hAnsi="Times New Roman" w:cs="Times New Roman"/>
                <w:sz w:val="24"/>
                <w:szCs w:val="24"/>
              </w:rPr>
              <w:t xml:space="preserve">± </w:t>
            </w:r>
            <w:r w:rsidRPr="00302D5A">
              <w:rPr>
                <w:rFonts w:ascii="Times New Roman" w:hAnsi="Times New Roman" w:cs="Times New Roman"/>
                <w:color w:val="000000"/>
                <w:sz w:val="24"/>
                <w:szCs w:val="24"/>
              </w:rPr>
              <w:t>7.1</w:t>
            </w:r>
          </w:p>
        </w:tc>
        <w:tc>
          <w:tcPr>
            <w:tcW w:w="2131" w:type="dxa"/>
          </w:tcPr>
          <w:p w:rsidR="002F5F2F" w:rsidRDefault="002F5F2F" w:rsidP="00C567D2">
            <w:pPr>
              <w:autoSpaceDE w:val="0"/>
              <w:autoSpaceDN w:val="0"/>
              <w:bidi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54.4</w:t>
            </w:r>
            <w:r w:rsidRPr="00302D5A">
              <w:rPr>
                <w:rFonts w:ascii="Times New Roman" w:hAnsi="Times New Roman" w:cs="Times New Roman"/>
                <w:color w:val="000000"/>
                <w:sz w:val="24"/>
                <w:szCs w:val="24"/>
              </w:rPr>
              <w:t xml:space="preserve"> </w:t>
            </w:r>
            <w:r w:rsidRPr="00302D5A">
              <w:rPr>
                <w:rFonts w:ascii="Times New Roman" w:hAnsi="Times New Roman" w:cs="Times New Roman"/>
                <w:sz w:val="24"/>
                <w:szCs w:val="24"/>
              </w:rPr>
              <w:t xml:space="preserve">± </w:t>
            </w:r>
            <w:r w:rsidRPr="00302D5A">
              <w:rPr>
                <w:rFonts w:ascii="Times New Roman" w:hAnsi="Times New Roman" w:cs="Times New Roman"/>
                <w:color w:val="000000"/>
                <w:sz w:val="24"/>
                <w:szCs w:val="24"/>
              </w:rPr>
              <w:t>6.6</w:t>
            </w:r>
          </w:p>
        </w:tc>
        <w:tc>
          <w:tcPr>
            <w:tcW w:w="2131" w:type="dxa"/>
            <w:vAlign w:val="center"/>
          </w:tcPr>
          <w:p w:rsidR="002F5F2F" w:rsidRPr="002F5F2F" w:rsidRDefault="002F5F2F"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0.70</w:t>
            </w:r>
          </w:p>
        </w:tc>
      </w:tr>
      <w:tr w:rsidR="002F5F2F" w:rsidTr="00C7428F">
        <w:tc>
          <w:tcPr>
            <w:tcW w:w="2130" w:type="dxa"/>
          </w:tcPr>
          <w:p w:rsidR="002F5F2F" w:rsidRPr="006A5072" w:rsidRDefault="002F5F2F" w:rsidP="00C567D2">
            <w:pPr>
              <w:autoSpaceDE w:val="0"/>
              <w:autoSpaceDN w:val="0"/>
              <w:bidi w:val="0"/>
              <w:adjustRightInd w:val="0"/>
              <w:spacing w:line="360" w:lineRule="auto"/>
              <w:jc w:val="both"/>
              <w:rPr>
                <w:rFonts w:ascii="Times New Roman" w:eastAsia="Calibri" w:hAnsi="Times New Roman" w:cs="Times New Roman"/>
                <w:b/>
                <w:bCs/>
                <w:i/>
                <w:iCs/>
                <w:sz w:val="24"/>
                <w:szCs w:val="24"/>
              </w:rPr>
            </w:pPr>
            <w:r w:rsidRPr="006A5072">
              <w:rPr>
                <w:rFonts w:ascii="Times New Roman" w:eastAsia="Calibri" w:hAnsi="Times New Roman" w:cs="Times New Roman"/>
                <w:b/>
                <w:bCs/>
                <w:i/>
                <w:iCs/>
                <w:sz w:val="24"/>
                <w:szCs w:val="24"/>
              </w:rPr>
              <w:t>BMI</w:t>
            </w:r>
            <w:r w:rsidR="006A5072">
              <w:rPr>
                <w:rFonts w:ascii="Times New Roman" w:eastAsia="Calibri" w:hAnsi="Times New Roman" w:cs="Times New Roman"/>
                <w:b/>
                <w:bCs/>
                <w:i/>
                <w:iCs/>
                <w:sz w:val="24"/>
                <w:szCs w:val="24"/>
              </w:rPr>
              <w:t xml:space="preserve">   Kg/</w:t>
            </w:r>
            <w:r w:rsidR="00D23727" w:rsidRPr="00302D5A">
              <w:rPr>
                <w:rFonts w:ascii="Times New Roman" w:hAnsi="Times New Roman" w:cs="Times New Roman"/>
                <w:b/>
                <w:bCs/>
                <w:i/>
                <w:iCs/>
                <w:sz w:val="24"/>
                <w:szCs w:val="24"/>
              </w:rPr>
              <w:t xml:space="preserve"> m</w:t>
            </w:r>
            <w:r w:rsidR="00D23727" w:rsidRPr="00302D5A">
              <w:rPr>
                <w:rFonts w:ascii="Times New Roman" w:hAnsi="Times New Roman" w:cs="Times New Roman"/>
                <w:b/>
                <w:bCs/>
                <w:i/>
                <w:iCs/>
                <w:sz w:val="24"/>
                <w:szCs w:val="24"/>
                <w:vertAlign w:val="superscript"/>
              </w:rPr>
              <w:t>2</w:t>
            </w:r>
          </w:p>
        </w:tc>
        <w:tc>
          <w:tcPr>
            <w:tcW w:w="2130" w:type="dxa"/>
          </w:tcPr>
          <w:p w:rsidR="002F5F2F" w:rsidRDefault="002F5F2F" w:rsidP="00C567D2">
            <w:pPr>
              <w:autoSpaceDE w:val="0"/>
              <w:autoSpaceDN w:val="0"/>
              <w:bidi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27.6 </w:t>
            </w:r>
            <w:r w:rsidRPr="00302D5A">
              <w:rPr>
                <w:rFonts w:ascii="Times New Roman" w:hAnsi="Times New Roman" w:cs="Times New Roman"/>
                <w:sz w:val="24"/>
                <w:szCs w:val="24"/>
              </w:rPr>
              <w:t>±</w:t>
            </w:r>
            <w:r>
              <w:rPr>
                <w:rFonts w:ascii="Times New Roman" w:hAnsi="Times New Roman" w:cs="Times New Roman"/>
                <w:sz w:val="24"/>
                <w:szCs w:val="24"/>
              </w:rPr>
              <w:t xml:space="preserve"> 1.6</w:t>
            </w:r>
          </w:p>
        </w:tc>
        <w:tc>
          <w:tcPr>
            <w:tcW w:w="2131" w:type="dxa"/>
          </w:tcPr>
          <w:p w:rsidR="002F5F2F" w:rsidRDefault="002F5F2F" w:rsidP="00C567D2">
            <w:pPr>
              <w:autoSpaceDE w:val="0"/>
              <w:autoSpaceDN w:val="0"/>
              <w:bidi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28.5 </w:t>
            </w:r>
            <w:r w:rsidRPr="00302D5A">
              <w:rPr>
                <w:rFonts w:ascii="Times New Roman" w:hAnsi="Times New Roman" w:cs="Times New Roman"/>
                <w:sz w:val="24"/>
                <w:szCs w:val="24"/>
              </w:rPr>
              <w:t>±</w:t>
            </w:r>
            <w:r>
              <w:rPr>
                <w:rFonts w:ascii="Times New Roman" w:hAnsi="Times New Roman" w:cs="Times New Roman"/>
                <w:sz w:val="24"/>
                <w:szCs w:val="24"/>
              </w:rPr>
              <w:t xml:space="preserve"> 1.7</w:t>
            </w:r>
          </w:p>
        </w:tc>
        <w:tc>
          <w:tcPr>
            <w:tcW w:w="2131" w:type="dxa"/>
            <w:vAlign w:val="center"/>
          </w:tcPr>
          <w:p w:rsidR="002F5F2F" w:rsidRPr="002F5F2F" w:rsidRDefault="002F5F2F"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0.12</w:t>
            </w:r>
          </w:p>
        </w:tc>
      </w:tr>
      <w:tr w:rsidR="002D4D7B" w:rsidTr="00C7428F">
        <w:tc>
          <w:tcPr>
            <w:tcW w:w="2130" w:type="dxa"/>
            <w:vAlign w:val="center"/>
          </w:tcPr>
          <w:p w:rsidR="002D4D7B" w:rsidRPr="006A5072" w:rsidRDefault="002D4D7B" w:rsidP="00C567D2">
            <w:pPr>
              <w:bidi w:val="0"/>
              <w:spacing w:line="360" w:lineRule="auto"/>
              <w:rPr>
                <w:rFonts w:asciiTheme="majorBidi" w:hAnsiTheme="majorBidi" w:cstheme="majorBidi"/>
                <w:b/>
                <w:bCs/>
                <w:i/>
                <w:iCs/>
                <w:color w:val="000000"/>
                <w:sz w:val="24"/>
                <w:szCs w:val="24"/>
              </w:rPr>
            </w:pPr>
            <w:r w:rsidRPr="006A5072">
              <w:rPr>
                <w:rFonts w:asciiTheme="majorBidi" w:hAnsiTheme="majorBidi" w:cstheme="majorBidi"/>
                <w:b/>
                <w:bCs/>
                <w:i/>
                <w:iCs/>
                <w:color w:val="000000"/>
                <w:sz w:val="24"/>
                <w:szCs w:val="24"/>
              </w:rPr>
              <w:t xml:space="preserve">Systolic  bl. </w:t>
            </w:r>
            <w:r w:rsidR="00F8154C" w:rsidRPr="006A5072">
              <w:rPr>
                <w:rFonts w:asciiTheme="majorBidi" w:hAnsiTheme="majorBidi" w:cstheme="majorBidi"/>
                <w:b/>
                <w:bCs/>
                <w:i/>
                <w:iCs/>
                <w:color w:val="000000"/>
                <w:sz w:val="24"/>
                <w:szCs w:val="24"/>
              </w:rPr>
              <w:t>P</w:t>
            </w:r>
            <w:r w:rsidRPr="006A5072">
              <w:rPr>
                <w:rFonts w:asciiTheme="majorBidi" w:hAnsiTheme="majorBidi" w:cstheme="majorBidi"/>
                <w:b/>
                <w:bCs/>
                <w:i/>
                <w:iCs/>
                <w:color w:val="000000"/>
                <w:sz w:val="24"/>
                <w:szCs w:val="24"/>
              </w:rPr>
              <w:t>ress</w:t>
            </w:r>
          </w:p>
        </w:tc>
        <w:tc>
          <w:tcPr>
            <w:tcW w:w="2130" w:type="dxa"/>
            <w:vAlign w:val="center"/>
          </w:tcPr>
          <w:p w:rsidR="002D4D7B" w:rsidRPr="00487369" w:rsidRDefault="002D4D7B"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141.8 </w:t>
            </w:r>
            <w:r w:rsidRPr="00487369">
              <w:rPr>
                <w:rFonts w:asciiTheme="majorBidi" w:hAnsiTheme="majorBidi" w:cstheme="majorBidi"/>
                <w:color w:val="000000"/>
                <w:sz w:val="24"/>
                <w:szCs w:val="24"/>
              </w:rPr>
              <w:t>± 14.</w:t>
            </w:r>
            <w:r>
              <w:rPr>
                <w:rFonts w:asciiTheme="majorBidi" w:hAnsiTheme="majorBidi" w:cstheme="majorBidi"/>
                <w:color w:val="000000"/>
                <w:sz w:val="24"/>
                <w:szCs w:val="24"/>
              </w:rPr>
              <w:t>5</w:t>
            </w:r>
          </w:p>
        </w:tc>
        <w:tc>
          <w:tcPr>
            <w:tcW w:w="2131" w:type="dxa"/>
            <w:vAlign w:val="center"/>
          </w:tcPr>
          <w:p w:rsidR="002D4D7B" w:rsidRPr="002D4D7B" w:rsidRDefault="002D4D7B" w:rsidP="00C567D2">
            <w:pPr>
              <w:bidi w:val="0"/>
              <w:spacing w:line="360" w:lineRule="auto"/>
              <w:rPr>
                <w:rFonts w:asciiTheme="majorBidi" w:hAnsiTheme="majorBidi" w:cstheme="majorBidi"/>
                <w:color w:val="000000"/>
                <w:sz w:val="24"/>
                <w:szCs w:val="24"/>
              </w:rPr>
            </w:pPr>
            <w:r w:rsidRPr="002D4D7B">
              <w:rPr>
                <w:rFonts w:asciiTheme="majorBidi" w:hAnsiTheme="majorBidi" w:cstheme="majorBidi"/>
                <w:color w:val="000000"/>
                <w:sz w:val="24"/>
                <w:szCs w:val="24"/>
              </w:rPr>
              <w:t>1</w:t>
            </w:r>
            <w:r>
              <w:rPr>
                <w:rFonts w:asciiTheme="majorBidi" w:hAnsiTheme="majorBidi" w:cstheme="majorBidi"/>
                <w:color w:val="000000"/>
                <w:sz w:val="24"/>
                <w:szCs w:val="24"/>
              </w:rPr>
              <w:t xml:space="preserve">13.2 </w:t>
            </w:r>
            <w:r w:rsidRPr="002D4D7B">
              <w:rPr>
                <w:rFonts w:asciiTheme="majorBidi" w:hAnsiTheme="majorBidi" w:cstheme="majorBidi"/>
                <w:color w:val="000000"/>
                <w:sz w:val="24"/>
                <w:szCs w:val="24"/>
              </w:rPr>
              <w:t>±</w:t>
            </w:r>
            <w:r>
              <w:rPr>
                <w:rFonts w:asciiTheme="majorBidi" w:hAnsiTheme="majorBidi" w:cstheme="majorBidi"/>
                <w:color w:val="000000"/>
                <w:sz w:val="24"/>
                <w:szCs w:val="24"/>
              </w:rPr>
              <w:t>7.8</w:t>
            </w:r>
          </w:p>
        </w:tc>
        <w:tc>
          <w:tcPr>
            <w:tcW w:w="2131" w:type="dxa"/>
            <w:vAlign w:val="center"/>
          </w:tcPr>
          <w:p w:rsidR="002D4D7B" w:rsidRPr="002D4D7B" w:rsidRDefault="002D4D7B" w:rsidP="00C567D2">
            <w:pPr>
              <w:bidi w:val="0"/>
              <w:spacing w:line="360" w:lineRule="auto"/>
              <w:rPr>
                <w:rFonts w:asciiTheme="majorBidi" w:hAnsiTheme="majorBidi" w:cstheme="majorBidi"/>
                <w:b/>
                <w:bCs/>
                <w:color w:val="000000"/>
                <w:sz w:val="24"/>
                <w:szCs w:val="24"/>
                <w:lang w:bidi="ar-EG"/>
              </w:rPr>
            </w:pPr>
            <w:r w:rsidRPr="002D4D7B">
              <w:rPr>
                <w:rFonts w:asciiTheme="majorBidi" w:hAnsiTheme="majorBidi" w:cstheme="majorBidi"/>
                <w:b/>
                <w:bCs/>
                <w:color w:val="000000"/>
                <w:sz w:val="24"/>
                <w:szCs w:val="24"/>
                <w:lang w:bidi="ar-EG"/>
              </w:rPr>
              <w:t>0.001</w:t>
            </w:r>
            <w:r w:rsidRPr="002D4D7B">
              <w:rPr>
                <w:rFonts w:ascii="Times New Roman" w:hAnsi="Times New Roman" w:cs="Times New Roman"/>
                <w:b/>
                <w:bCs/>
                <w:color w:val="000000"/>
                <w:sz w:val="24"/>
                <w:szCs w:val="24"/>
                <w:vertAlign w:val="superscript"/>
              </w:rPr>
              <w:t>*</w:t>
            </w:r>
          </w:p>
        </w:tc>
      </w:tr>
      <w:tr w:rsidR="002D4D7B" w:rsidTr="00C7428F">
        <w:tc>
          <w:tcPr>
            <w:tcW w:w="2130" w:type="dxa"/>
            <w:vAlign w:val="center"/>
          </w:tcPr>
          <w:p w:rsidR="002D4D7B" w:rsidRPr="006A5072" w:rsidRDefault="002D4D7B" w:rsidP="00C567D2">
            <w:pPr>
              <w:bidi w:val="0"/>
              <w:spacing w:line="360" w:lineRule="auto"/>
              <w:rPr>
                <w:rFonts w:asciiTheme="majorBidi" w:hAnsiTheme="majorBidi" w:cstheme="majorBidi"/>
                <w:b/>
                <w:bCs/>
                <w:i/>
                <w:iCs/>
                <w:color w:val="000000"/>
                <w:sz w:val="24"/>
                <w:szCs w:val="24"/>
              </w:rPr>
            </w:pPr>
            <w:r w:rsidRPr="006A5072">
              <w:rPr>
                <w:rFonts w:asciiTheme="majorBidi" w:hAnsiTheme="majorBidi" w:cstheme="majorBidi"/>
                <w:b/>
                <w:bCs/>
                <w:i/>
                <w:iCs/>
                <w:color w:val="000000"/>
                <w:sz w:val="24"/>
                <w:szCs w:val="24"/>
              </w:rPr>
              <w:t xml:space="preserve">Diastolic  bl. </w:t>
            </w:r>
            <w:r w:rsidR="00F8154C" w:rsidRPr="006A5072">
              <w:rPr>
                <w:rFonts w:asciiTheme="majorBidi" w:hAnsiTheme="majorBidi" w:cstheme="majorBidi"/>
                <w:b/>
                <w:bCs/>
                <w:i/>
                <w:iCs/>
                <w:color w:val="000000"/>
                <w:sz w:val="24"/>
                <w:szCs w:val="24"/>
              </w:rPr>
              <w:t>P</w:t>
            </w:r>
            <w:r w:rsidRPr="006A5072">
              <w:rPr>
                <w:rFonts w:asciiTheme="majorBidi" w:hAnsiTheme="majorBidi" w:cstheme="majorBidi"/>
                <w:b/>
                <w:bCs/>
                <w:i/>
                <w:iCs/>
                <w:color w:val="000000"/>
                <w:sz w:val="24"/>
                <w:szCs w:val="24"/>
              </w:rPr>
              <w:t>ress</w:t>
            </w:r>
          </w:p>
        </w:tc>
        <w:tc>
          <w:tcPr>
            <w:tcW w:w="2130" w:type="dxa"/>
            <w:vAlign w:val="center"/>
          </w:tcPr>
          <w:p w:rsidR="002D4D7B" w:rsidRPr="00487369" w:rsidRDefault="002D4D7B"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93.1 </w:t>
            </w:r>
            <w:r w:rsidRPr="00487369">
              <w:rPr>
                <w:rFonts w:asciiTheme="majorBidi" w:hAnsiTheme="majorBidi" w:cstheme="majorBidi"/>
                <w:color w:val="000000"/>
                <w:sz w:val="24"/>
                <w:szCs w:val="24"/>
              </w:rPr>
              <w:t>± 15.3</w:t>
            </w:r>
          </w:p>
        </w:tc>
        <w:tc>
          <w:tcPr>
            <w:tcW w:w="2131" w:type="dxa"/>
            <w:vAlign w:val="center"/>
          </w:tcPr>
          <w:p w:rsidR="002D4D7B" w:rsidRPr="002D4D7B" w:rsidRDefault="002D4D7B"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73.3 </w:t>
            </w:r>
            <w:r w:rsidRPr="002D4D7B">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2D4D7B">
              <w:rPr>
                <w:rFonts w:asciiTheme="majorBidi" w:hAnsiTheme="majorBidi" w:cstheme="majorBidi"/>
                <w:color w:val="000000"/>
                <w:sz w:val="24"/>
                <w:szCs w:val="24"/>
              </w:rPr>
              <w:t>4.9</w:t>
            </w:r>
          </w:p>
        </w:tc>
        <w:tc>
          <w:tcPr>
            <w:tcW w:w="2131" w:type="dxa"/>
            <w:vAlign w:val="center"/>
          </w:tcPr>
          <w:p w:rsidR="002D4D7B" w:rsidRPr="002D4D7B" w:rsidRDefault="002D4D7B" w:rsidP="00C567D2">
            <w:pPr>
              <w:bidi w:val="0"/>
              <w:spacing w:line="360" w:lineRule="auto"/>
              <w:rPr>
                <w:rFonts w:asciiTheme="majorBidi" w:hAnsiTheme="majorBidi" w:cstheme="majorBidi"/>
                <w:b/>
                <w:bCs/>
                <w:color w:val="000000"/>
                <w:sz w:val="24"/>
                <w:szCs w:val="24"/>
                <w:lang w:bidi="ar-EG"/>
              </w:rPr>
            </w:pPr>
            <w:r w:rsidRPr="002D4D7B">
              <w:rPr>
                <w:rFonts w:asciiTheme="majorBidi" w:hAnsiTheme="majorBidi" w:cstheme="majorBidi"/>
                <w:b/>
                <w:bCs/>
                <w:color w:val="000000"/>
                <w:sz w:val="24"/>
                <w:szCs w:val="24"/>
                <w:lang w:bidi="ar-EG"/>
              </w:rPr>
              <w:t>0.001</w:t>
            </w:r>
            <w:r w:rsidRPr="002D4D7B">
              <w:rPr>
                <w:rFonts w:ascii="Times New Roman" w:hAnsi="Times New Roman" w:cs="Times New Roman"/>
                <w:b/>
                <w:bCs/>
                <w:color w:val="000000"/>
                <w:sz w:val="24"/>
                <w:szCs w:val="24"/>
                <w:vertAlign w:val="superscript"/>
              </w:rPr>
              <w:t>*</w:t>
            </w:r>
          </w:p>
        </w:tc>
      </w:tr>
      <w:tr w:rsidR="002F5F2F" w:rsidTr="00C7428F">
        <w:tc>
          <w:tcPr>
            <w:tcW w:w="2130" w:type="dxa"/>
            <w:vAlign w:val="center"/>
          </w:tcPr>
          <w:p w:rsidR="002F5F2F" w:rsidRPr="006A5072" w:rsidRDefault="002F5F2F" w:rsidP="00C567D2">
            <w:pPr>
              <w:bidi w:val="0"/>
              <w:spacing w:line="360" w:lineRule="auto"/>
              <w:rPr>
                <w:rFonts w:asciiTheme="majorBidi" w:hAnsiTheme="majorBidi" w:cstheme="majorBidi"/>
                <w:b/>
                <w:bCs/>
                <w:i/>
                <w:iCs/>
                <w:color w:val="000000"/>
                <w:sz w:val="24"/>
                <w:szCs w:val="24"/>
              </w:rPr>
            </w:pPr>
            <w:r w:rsidRPr="006A5072">
              <w:rPr>
                <w:rFonts w:asciiTheme="majorBidi" w:hAnsiTheme="majorBidi" w:cstheme="majorBidi"/>
                <w:b/>
                <w:bCs/>
                <w:i/>
                <w:iCs/>
                <w:color w:val="000000"/>
                <w:sz w:val="24"/>
                <w:szCs w:val="24"/>
              </w:rPr>
              <w:t>F</w:t>
            </w:r>
            <w:r w:rsidR="006A5072">
              <w:rPr>
                <w:rFonts w:asciiTheme="majorBidi" w:hAnsiTheme="majorBidi" w:cstheme="majorBidi"/>
                <w:b/>
                <w:bCs/>
                <w:i/>
                <w:iCs/>
                <w:color w:val="000000"/>
                <w:sz w:val="24"/>
                <w:szCs w:val="24"/>
              </w:rPr>
              <w:t xml:space="preserve">BG </w:t>
            </w:r>
            <w:r w:rsidRPr="006A5072">
              <w:rPr>
                <w:rFonts w:asciiTheme="majorBidi" w:hAnsiTheme="majorBidi" w:cstheme="majorBidi"/>
                <w:b/>
                <w:bCs/>
                <w:i/>
                <w:iCs/>
                <w:color w:val="000000"/>
                <w:sz w:val="24"/>
                <w:szCs w:val="24"/>
              </w:rPr>
              <w:t xml:space="preserve">          </w:t>
            </w:r>
            <w:r w:rsidR="006A5072" w:rsidRPr="006A5072">
              <w:rPr>
                <w:rFonts w:asciiTheme="majorBidi" w:hAnsiTheme="majorBidi" w:cstheme="majorBidi"/>
                <w:b/>
                <w:bCs/>
                <w:i/>
                <w:iCs/>
                <w:color w:val="000000"/>
                <w:sz w:val="24"/>
                <w:szCs w:val="24"/>
              </w:rPr>
              <w:t>mg/dl</w:t>
            </w:r>
            <w:r w:rsidRPr="006A5072">
              <w:rPr>
                <w:rFonts w:asciiTheme="majorBidi" w:hAnsiTheme="majorBidi" w:cstheme="majorBidi"/>
                <w:b/>
                <w:bCs/>
                <w:i/>
                <w:iCs/>
                <w:color w:val="000000"/>
                <w:sz w:val="24"/>
                <w:szCs w:val="24"/>
              </w:rPr>
              <w:t xml:space="preserve">         </w:t>
            </w:r>
          </w:p>
        </w:tc>
        <w:tc>
          <w:tcPr>
            <w:tcW w:w="2130" w:type="dxa"/>
            <w:vAlign w:val="center"/>
          </w:tcPr>
          <w:p w:rsidR="002F5F2F" w:rsidRPr="0012548F" w:rsidRDefault="002F5F2F"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133.0</w:t>
            </w:r>
            <w:r w:rsidRPr="00302D5A">
              <w:rPr>
                <w:sz w:val="24"/>
                <w:szCs w:val="24"/>
              </w:rPr>
              <w:t xml:space="preserve"> </w:t>
            </w:r>
            <w:r w:rsidRPr="00302D5A">
              <w:rPr>
                <w:rFonts w:ascii="Times New Roman" w:hAnsi="Times New Roman" w:cs="Times New Roman"/>
                <w:sz w:val="24"/>
                <w:szCs w:val="24"/>
              </w:rPr>
              <w:t>±</w:t>
            </w:r>
            <w:r>
              <w:rPr>
                <w:rFonts w:ascii="Times New Roman" w:hAnsi="Times New Roman" w:cs="Times New Roman"/>
                <w:sz w:val="24"/>
                <w:szCs w:val="24"/>
              </w:rPr>
              <w:t xml:space="preserve"> </w:t>
            </w:r>
            <w:r w:rsidRPr="002F5F2F">
              <w:rPr>
                <w:rFonts w:asciiTheme="majorBidi" w:hAnsiTheme="majorBidi" w:cstheme="majorBidi"/>
                <w:color w:val="000000"/>
                <w:sz w:val="24"/>
                <w:szCs w:val="24"/>
              </w:rPr>
              <w:t>69.8</w:t>
            </w:r>
          </w:p>
        </w:tc>
        <w:tc>
          <w:tcPr>
            <w:tcW w:w="2131" w:type="dxa"/>
            <w:vAlign w:val="center"/>
          </w:tcPr>
          <w:p w:rsidR="002F5F2F" w:rsidRPr="002F5F2F" w:rsidRDefault="002F5F2F"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95.2</w:t>
            </w:r>
            <w:r w:rsidRPr="002F5F2F">
              <w:rPr>
                <w:rFonts w:asciiTheme="majorBidi" w:hAnsiTheme="majorBidi" w:cstheme="majorBidi"/>
                <w:color w:val="000000"/>
                <w:sz w:val="24"/>
                <w:szCs w:val="24"/>
              </w:rPr>
              <w:t>±11.</w:t>
            </w:r>
            <w:r>
              <w:rPr>
                <w:rFonts w:asciiTheme="majorBidi" w:hAnsiTheme="majorBidi" w:cstheme="majorBidi"/>
                <w:color w:val="000000"/>
                <w:sz w:val="24"/>
                <w:szCs w:val="24"/>
              </w:rPr>
              <w:t>6</w:t>
            </w:r>
          </w:p>
        </w:tc>
        <w:tc>
          <w:tcPr>
            <w:tcW w:w="2131" w:type="dxa"/>
            <w:vAlign w:val="center"/>
          </w:tcPr>
          <w:p w:rsidR="002F5F2F" w:rsidRPr="002F5F2F" w:rsidRDefault="002F5F2F" w:rsidP="00C567D2">
            <w:pPr>
              <w:bidi w:val="0"/>
              <w:spacing w:line="360" w:lineRule="auto"/>
              <w:rPr>
                <w:rFonts w:asciiTheme="majorBidi" w:hAnsiTheme="majorBidi" w:cstheme="majorBidi"/>
                <w:color w:val="000000"/>
                <w:sz w:val="24"/>
                <w:szCs w:val="24"/>
                <w:lang w:bidi="ar-EG"/>
              </w:rPr>
            </w:pPr>
            <w:r>
              <w:rPr>
                <w:rFonts w:asciiTheme="majorBidi" w:hAnsiTheme="majorBidi" w:cstheme="majorBidi"/>
                <w:color w:val="000000"/>
                <w:sz w:val="24"/>
                <w:szCs w:val="24"/>
                <w:lang w:bidi="ar-EG"/>
              </w:rPr>
              <w:t>0.91</w:t>
            </w:r>
          </w:p>
        </w:tc>
      </w:tr>
      <w:tr w:rsidR="002F5F2F" w:rsidTr="00C7428F">
        <w:tc>
          <w:tcPr>
            <w:tcW w:w="2130" w:type="dxa"/>
            <w:vAlign w:val="center"/>
          </w:tcPr>
          <w:p w:rsidR="002F5F2F" w:rsidRPr="006A5072" w:rsidRDefault="00C20DA1" w:rsidP="00C567D2">
            <w:pPr>
              <w:bidi w:val="0"/>
              <w:spacing w:line="360" w:lineRule="auto"/>
              <w:rPr>
                <w:rFonts w:asciiTheme="majorBidi" w:hAnsiTheme="majorBidi" w:cstheme="majorBidi"/>
                <w:b/>
                <w:bCs/>
                <w:i/>
                <w:iCs/>
                <w:color w:val="000000"/>
                <w:sz w:val="24"/>
                <w:szCs w:val="24"/>
              </w:rPr>
            </w:pPr>
            <w:r w:rsidRPr="006A5072">
              <w:rPr>
                <w:rFonts w:asciiTheme="majorBidi" w:hAnsiTheme="majorBidi" w:cstheme="majorBidi"/>
                <w:b/>
                <w:bCs/>
                <w:i/>
                <w:iCs/>
                <w:color w:val="000000"/>
                <w:sz w:val="24"/>
                <w:szCs w:val="24"/>
              </w:rPr>
              <w:t>Insulin</w:t>
            </w:r>
            <w:r w:rsidR="001C192D" w:rsidRPr="006A5072">
              <w:rPr>
                <w:rFonts w:asciiTheme="majorBidi" w:hAnsiTheme="majorBidi" w:cstheme="majorBidi"/>
                <w:b/>
                <w:bCs/>
                <w:i/>
                <w:iCs/>
                <w:color w:val="000000"/>
                <w:sz w:val="24"/>
                <w:szCs w:val="24"/>
              </w:rPr>
              <w:t xml:space="preserve">    </w:t>
            </w:r>
            <w:r w:rsidRPr="006A5072">
              <w:rPr>
                <w:rFonts w:ascii="Times New Roman" w:hAnsi="Times New Roman" w:cs="Times New Roman"/>
                <w:b/>
                <w:bCs/>
                <w:i/>
                <w:iCs/>
                <w:sz w:val="24"/>
                <w:szCs w:val="24"/>
                <w:lang w:bidi="ar-EG"/>
              </w:rPr>
              <w:t>µIU/mL</w:t>
            </w:r>
          </w:p>
        </w:tc>
        <w:tc>
          <w:tcPr>
            <w:tcW w:w="2130" w:type="dxa"/>
            <w:vAlign w:val="center"/>
          </w:tcPr>
          <w:p w:rsidR="002F5F2F" w:rsidRPr="002F5F2F" w:rsidRDefault="001C192D"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12.3 </w:t>
            </w:r>
            <w:r w:rsidR="002F5F2F" w:rsidRPr="002F5F2F">
              <w:rPr>
                <w:rFonts w:asciiTheme="majorBidi" w:hAnsiTheme="majorBidi" w:cstheme="majorBidi"/>
                <w:color w:val="000000"/>
                <w:sz w:val="24"/>
                <w:szCs w:val="24"/>
              </w:rPr>
              <w:t>± 7.</w:t>
            </w:r>
            <w:r>
              <w:rPr>
                <w:rFonts w:asciiTheme="majorBidi" w:hAnsiTheme="majorBidi" w:cstheme="majorBidi"/>
                <w:color w:val="000000"/>
                <w:sz w:val="24"/>
                <w:szCs w:val="24"/>
              </w:rPr>
              <w:t>1</w:t>
            </w:r>
          </w:p>
        </w:tc>
        <w:tc>
          <w:tcPr>
            <w:tcW w:w="2131" w:type="dxa"/>
            <w:vAlign w:val="center"/>
          </w:tcPr>
          <w:p w:rsidR="002F5F2F" w:rsidRPr="002F5F2F" w:rsidRDefault="001C192D"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14.4 </w:t>
            </w:r>
            <w:r w:rsidRPr="001C192D">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1C192D">
              <w:rPr>
                <w:rFonts w:asciiTheme="majorBidi" w:hAnsiTheme="majorBidi" w:cstheme="majorBidi"/>
                <w:color w:val="000000"/>
                <w:sz w:val="24"/>
                <w:szCs w:val="24"/>
              </w:rPr>
              <w:t>5.6</w:t>
            </w:r>
          </w:p>
        </w:tc>
        <w:tc>
          <w:tcPr>
            <w:tcW w:w="2131" w:type="dxa"/>
            <w:vAlign w:val="center"/>
          </w:tcPr>
          <w:p w:rsidR="002F5F2F" w:rsidRPr="002F5F2F" w:rsidRDefault="001C192D" w:rsidP="00C567D2">
            <w:pPr>
              <w:bidi w:val="0"/>
              <w:spacing w:line="360" w:lineRule="auto"/>
              <w:rPr>
                <w:rFonts w:asciiTheme="majorBidi" w:hAnsiTheme="majorBidi" w:cstheme="majorBidi"/>
                <w:color w:val="000000"/>
                <w:sz w:val="24"/>
                <w:szCs w:val="24"/>
                <w:lang w:bidi="ar-EG"/>
              </w:rPr>
            </w:pPr>
            <w:r>
              <w:rPr>
                <w:rFonts w:asciiTheme="majorBidi" w:hAnsiTheme="majorBidi" w:cstheme="majorBidi"/>
                <w:color w:val="000000"/>
                <w:sz w:val="24"/>
                <w:szCs w:val="24"/>
                <w:lang w:bidi="ar-EG"/>
              </w:rPr>
              <w:t>0.22</w:t>
            </w:r>
          </w:p>
        </w:tc>
      </w:tr>
      <w:tr w:rsidR="002F5F2F" w:rsidTr="00C7428F">
        <w:tc>
          <w:tcPr>
            <w:tcW w:w="2130" w:type="dxa"/>
            <w:vAlign w:val="center"/>
          </w:tcPr>
          <w:p w:rsidR="002F5F2F" w:rsidRPr="006A5072" w:rsidRDefault="002F5F2F" w:rsidP="00C567D2">
            <w:pPr>
              <w:bidi w:val="0"/>
              <w:spacing w:line="360" w:lineRule="auto"/>
              <w:rPr>
                <w:rFonts w:asciiTheme="majorBidi" w:hAnsiTheme="majorBidi" w:cstheme="majorBidi"/>
                <w:b/>
                <w:bCs/>
                <w:i/>
                <w:iCs/>
                <w:color w:val="000000"/>
                <w:sz w:val="24"/>
                <w:szCs w:val="24"/>
              </w:rPr>
            </w:pPr>
            <w:r w:rsidRPr="006A5072">
              <w:rPr>
                <w:rFonts w:asciiTheme="majorBidi" w:hAnsiTheme="majorBidi" w:cstheme="majorBidi"/>
                <w:b/>
                <w:bCs/>
                <w:i/>
                <w:iCs/>
                <w:color w:val="000000"/>
                <w:sz w:val="24"/>
                <w:szCs w:val="24"/>
              </w:rPr>
              <w:t>Cholesterol   mg/dl</w:t>
            </w:r>
          </w:p>
        </w:tc>
        <w:tc>
          <w:tcPr>
            <w:tcW w:w="2130" w:type="dxa"/>
            <w:vAlign w:val="center"/>
          </w:tcPr>
          <w:p w:rsidR="002F5F2F" w:rsidRPr="0012548F" w:rsidRDefault="002F5F2F"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187.9</w:t>
            </w:r>
            <w:r w:rsidRPr="00302D5A">
              <w:rPr>
                <w:sz w:val="24"/>
                <w:szCs w:val="24"/>
              </w:rPr>
              <w:t xml:space="preserve"> </w:t>
            </w:r>
            <w:r w:rsidRPr="00302D5A">
              <w:rPr>
                <w:rFonts w:ascii="Times New Roman" w:hAnsi="Times New Roman" w:cs="Times New Roman"/>
                <w:sz w:val="24"/>
                <w:szCs w:val="24"/>
              </w:rPr>
              <w:t>±</w:t>
            </w:r>
            <w:r>
              <w:rPr>
                <w:rFonts w:asciiTheme="majorBidi" w:hAnsiTheme="majorBidi" w:cstheme="majorBidi"/>
                <w:color w:val="000000"/>
                <w:sz w:val="24"/>
                <w:szCs w:val="24"/>
              </w:rPr>
              <w:t xml:space="preserve"> 44.5</w:t>
            </w:r>
          </w:p>
        </w:tc>
        <w:tc>
          <w:tcPr>
            <w:tcW w:w="2131" w:type="dxa"/>
            <w:vAlign w:val="center"/>
          </w:tcPr>
          <w:p w:rsidR="002F5F2F" w:rsidRPr="002F5F2F" w:rsidRDefault="002F5F2F"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166.7</w:t>
            </w:r>
            <w:r w:rsidRPr="002F5F2F">
              <w:rPr>
                <w:rFonts w:asciiTheme="majorBidi" w:hAnsiTheme="majorBidi" w:cstheme="majorBidi"/>
                <w:color w:val="000000"/>
                <w:sz w:val="24"/>
                <w:szCs w:val="24"/>
              </w:rPr>
              <w:t>±22.9</w:t>
            </w:r>
          </w:p>
        </w:tc>
        <w:tc>
          <w:tcPr>
            <w:tcW w:w="2131" w:type="dxa"/>
            <w:vAlign w:val="center"/>
          </w:tcPr>
          <w:p w:rsidR="002F5F2F" w:rsidRPr="002F5F2F" w:rsidRDefault="002F5F2F" w:rsidP="00C567D2">
            <w:pPr>
              <w:bidi w:val="0"/>
              <w:spacing w:line="360" w:lineRule="auto"/>
              <w:rPr>
                <w:rFonts w:asciiTheme="majorBidi" w:hAnsiTheme="majorBidi" w:cstheme="majorBidi"/>
                <w:color w:val="000000"/>
                <w:sz w:val="24"/>
                <w:szCs w:val="24"/>
                <w:vertAlign w:val="superscript"/>
              </w:rPr>
            </w:pPr>
            <w:r>
              <w:rPr>
                <w:rFonts w:asciiTheme="majorBidi" w:hAnsiTheme="majorBidi" w:cstheme="majorBidi"/>
                <w:color w:val="000000"/>
                <w:sz w:val="24"/>
                <w:szCs w:val="24"/>
              </w:rPr>
              <w:t>0.18</w:t>
            </w:r>
          </w:p>
        </w:tc>
      </w:tr>
      <w:tr w:rsidR="002F5F2F" w:rsidTr="00C7428F">
        <w:tc>
          <w:tcPr>
            <w:tcW w:w="2130" w:type="dxa"/>
            <w:vAlign w:val="center"/>
          </w:tcPr>
          <w:p w:rsidR="002F5F2F" w:rsidRPr="006A5072" w:rsidRDefault="002F5F2F" w:rsidP="00C567D2">
            <w:pPr>
              <w:bidi w:val="0"/>
              <w:spacing w:line="360" w:lineRule="auto"/>
              <w:rPr>
                <w:rFonts w:asciiTheme="majorBidi" w:hAnsiTheme="majorBidi" w:cstheme="majorBidi"/>
                <w:b/>
                <w:bCs/>
                <w:i/>
                <w:iCs/>
                <w:color w:val="000000"/>
                <w:sz w:val="24"/>
                <w:szCs w:val="24"/>
              </w:rPr>
            </w:pPr>
            <w:r w:rsidRPr="006A5072">
              <w:rPr>
                <w:rFonts w:asciiTheme="majorBidi" w:hAnsiTheme="majorBidi" w:cstheme="majorBidi"/>
                <w:b/>
                <w:bCs/>
                <w:i/>
                <w:iCs/>
                <w:color w:val="000000"/>
                <w:sz w:val="24"/>
                <w:szCs w:val="24"/>
              </w:rPr>
              <w:t xml:space="preserve">TG            </w:t>
            </w:r>
            <w:r w:rsidR="001C192D" w:rsidRPr="006A5072">
              <w:rPr>
                <w:rFonts w:asciiTheme="majorBidi" w:hAnsiTheme="majorBidi" w:cstheme="majorBidi"/>
                <w:b/>
                <w:bCs/>
                <w:i/>
                <w:iCs/>
                <w:color w:val="000000"/>
                <w:sz w:val="24"/>
                <w:szCs w:val="24"/>
              </w:rPr>
              <w:t xml:space="preserve"> </w:t>
            </w:r>
            <w:r w:rsidRPr="006A5072">
              <w:rPr>
                <w:rFonts w:asciiTheme="majorBidi" w:hAnsiTheme="majorBidi" w:cstheme="majorBidi"/>
                <w:b/>
                <w:bCs/>
                <w:i/>
                <w:iCs/>
                <w:color w:val="000000"/>
                <w:sz w:val="24"/>
                <w:szCs w:val="24"/>
              </w:rPr>
              <w:t>mg/dl</w:t>
            </w:r>
          </w:p>
        </w:tc>
        <w:tc>
          <w:tcPr>
            <w:tcW w:w="2130" w:type="dxa"/>
            <w:vAlign w:val="center"/>
          </w:tcPr>
          <w:p w:rsidR="002F5F2F" w:rsidRPr="0012548F" w:rsidRDefault="002F5F2F"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133.5</w:t>
            </w:r>
            <w:r w:rsidRPr="00302D5A">
              <w:rPr>
                <w:sz w:val="24"/>
                <w:szCs w:val="24"/>
              </w:rPr>
              <w:t xml:space="preserve"> </w:t>
            </w:r>
            <w:r w:rsidRPr="00302D5A">
              <w:rPr>
                <w:rFonts w:ascii="Times New Roman" w:hAnsi="Times New Roman" w:cs="Times New Roman"/>
                <w:sz w:val="24"/>
                <w:szCs w:val="24"/>
              </w:rPr>
              <w:t>±</w:t>
            </w:r>
            <w:r>
              <w:rPr>
                <w:rFonts w:asciiTheme="majorBidi" w:hAnsiTheme="majorBidi" w:cstheme="majorBidi"/>
                <w:color w:val="000000"/>
                <w:sz w:val="24"/>
                <w:szCs w:val="24"/>
              </w:rPr>
              <w:t xml:space="preserve"> 55.1</w:t>
            </w:r>
          </w:p>
        </w:tc>
        <w:tc>
          <w:tcPr>
            <w:tcW w:w="2131" w:type="dxa"/>
            <w:vAlign w:val="center"/>
          </w:tcPr>
          <w:p w:rsidR="002F5F2F" w:rsidRPr="002F5F2F" w:rsidRDefault="002F5F2F" w:rsidP="00C567D2">
            <w:pPr>
              <w:bidi w:val="0"/>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101.2</w:t>
            </w:r>
            <w:r w:rsidRPr="002F5F2F">
              <w:rPr>
                <w:rFonts w:asciiTheme="majorBidi" w:hAnsiTheme="majorBidi" w:cstheme="majorBidi"/>
                <w:color w:val="000000"/>
                <w:sz w:val="24"/>
                <w:szCs w:val="24"/>
              </w:rPr>
              <w:t>±31.</w:t>
            </w:r>
            <w:r>
              <w:rPr>
                <w:rFonts w:asciiTheme="majorBidi" w:hAnsiTheme="majorBidi" w:cstheme="majorBidi"/>
                <w:color w:val="000000"/>
                <w:sz w:val="24"/>
                <w:szCs w:val="24"/>
              </w:rPr>
              <w:t>6</w:t>
            </w:r>
          </w:p>
        </w:tc>
        <w:tc>
          <w:tcPr>
            <w:tcW w:w="2131" w:type="dxa"/>
            <w:vAlign w:val="center"/>
          </w:tcPr>
          <w:p w:rsidR="002F5F2F" w:rsidRPr="001C192D" w:rsidRDefault="002F5F2F" w:rsidP="00C567D2">
            <w:pPr>
              <w:bidi w:val="0"/>
              <w:spacing w:line="360" w:lineRule="auto"/>
              <w:rPr>
                <w:rFonts w:asciiTheme="majorBidi" w:hAnsiTheme="majorBidi" w:cstheme="majorBidi"/>
                <w:b/>
                <w:bCs/>
                <w:color w:val="000000"/>
                <w:sz w:val="24"/>
                <w:szCs w:val="24"/>
              </w:rPr>
            </w:pPr>
            <w:r w:rsidRPr="001C192D">
              <w:rPr>
                <w:rFonts w:asciiTheme="majorBidi" w:hAnsiTheme="majorBidi" w:cstheme="majorBidi"/>
                <w:b/>
                <w:bCs/>
                <w:color w:val="000000"/>
                <w:sz w:val="24"/>
                <w:szCs w:val="24"/>
              </w:rPr>
              <w:t>0.048</w:t>
            </w:r>
            <w:r w:rsidRPr="001C192D">
              <w:rPr>
                <w:rFonts w:ascii="Times New Roman" w:hAnsi="Times New Roman" w:cs="Times New Roman"/>
                <w:b/>
                <w:bCs/>
                <w:color w:val="000000"/>
                <w:sz w:val="24"/>
                <w:szCs w:val="24"/>
                <w:vertAlign w:val="superscript"/>
              </w:rPr>
              <w:t>*</w:t>
            </w:r>
          </w:p>
        </w:tc>
      </w:tr>
      <w:tr w:rsidR="00DE2D79" w:rsidTr="006A5072">
        <w:trPr>
          <w:trHeight w:val="446"/>
        </w:trPr>
        <w:tc>
          <w:tcPr>
            <w:tcW w:w="2130" w:type="dxa"/>
          </w:tcPr>
          <w:p w:rsidR="00DE2D79" w:rsidRPr="006A5072" w:rsidRDefault="006A5072" w:rsidP="00C567D2">
            <w:pPr>
              <w:bidi w:val="0"/>
              <w:rPr>
                <w:rFonts w:ascii="Times New Roman" w:hAnsi="Times New Roman" w:cs="Times New Roman"/>
                <w:b/>
                <w:bCs/>
                <w:i/>
                <w:iCs/>
                <w:sz w:val="24"/>
                <w:szCs w:val="24"/>
                <w:lang w:bidi="ar-EG"/>
              </w:rPr>
            </w:pPr>
            <w:r w:rsidRPr="00302D5A">
              <w:rPr>
                <w:rFonts w:ascii="Times New Roman" w:hAnsi="Times New Roman" w:cs="Times New Roman"/>
                <w:b/>
                <w:bCs/>
                <w:i/>
                <w:iCs/>
                <w:sz w:val="24"/>
                <w:szCs w:val="24"/>
              </w:rPr>
              <w:t>HDL-c</w:t>
            </w:r>
            <w:r w:rsidR="001C192D" w:rsidRPr="006A5072">
              <w:rPr>
                <w:rFonts w:ascii="Times New Roman" w:eastAsia="Calibri" w:hAnsi="Times New Roman" w:cs="Times New Roman"/>
                <w:b/>
                <w:bCs/>
                <w:i/>
                <w:iCs/>
                <w:sz w:val="24"/>
                <w:szCs w:val="24"/>
              </w:rPr>
              <w:t xml:space="preserve">        </w:t>
            </w:r>
            <w:r w:rsidR="001C192D" w:rsidRPr="006A5072">
              <w:rPr>
                <w:rFonts w:asciiTheme="majorBidi" w:hAnsiTheme="majorBidi" w:cstheme="majorBidi"/>
                <w:b/>
                <w:bCs/>
                <w:i/>
                <w:iCs/>
                <w:color w:val="000000"/>
                <w:sz w:val="24"/>
                <w:szCs w:val="24"/>
              </w:rPr>
              <w:t>mg/dl</w:t>
            </w:r>
          </w:p>
        </w:tc>
        <w:tc>
          <w:tcPr>
            <w:tcW w:w="2130" w:type="dxa"/>
          </w:tcPr>
          <w:p w:rsidR="00DE2D79" w:rsidRPr="0012548F" w:rsidRDefault="0012548F" w:rsidP="00C567D2">
            <w:pPr>
              <w:bidi w:val="0"/>
              <w:rPr>
                <w:rFonts w:ascii="Times New Roman" w:hAnsi="Times New Roman" w:cs="Times New Roman"/>
                <w:color w:val="000000"/>
                <w:sz w:val="24"/>
                <w:szCs w:val="24"/>
              </w:rPr>
            </w:pPr>
            <w:r w:rsidRPr="00302D5A">
              <w:rPr>
                <w:rFonts w:ascii="Times New Roman" w:hAnsi="Times New Roman" w:cs="Times New Roman"/>
                <w:color w:val="000000"/>
                <w:sz w:val="24"/>
                <w:szCs w:val="24"/>
              </w:rPr>
              <w:t>37.8</w:t>
            </w:r>
            <w:r w:rsidRPr="00302D5A">
              <w:rPr>
                <w:sz w:val="24"/>
                <w:szCs w:val="24"/>
              </w:rPr>
              <w:t xml:space="preserve"> </w:t>
            </w:r>
            <w:r w:rsidRPr="00302D5A">
              <w:rPr>
                <w:rFonts w:ascii="Times New Roman" w:hAnsi="Times New Roman" w:cs="Times New Roman"/>
                <w:sz w:val="24"/>
                <w:szCs w:val="24"/>
              </w:rPr>
              <w:t xml:space="preserve">± </w:t>
            </w:r>
            <w:r w:rsidRPr="00302D5A">
              <w:rPr>
                <w:rFonts w:ascii="Times New Roman" w:hAnsi="Times New Roman" w:cs="Times New Roman"/>
                <w:color w:val="000000"/>
                <w:sz w:val="24"/>
                <w:szCs w:val="24"/>
              </w:rPr>
              <w:t>11.2</w:t>
            </w:r>
          </w:p>
        </w:tc>
        <w:tc>
          <w:tcPr>
            <w:tcW w:w="2131" w:type="dxa"/>
          </w:tcPr>
          <w:p w:rsidR="0012548F" w:rsidRPr="00302D5A" w:rsidRDefault="0012548F" w:rsidP="00C567D2">
            <w:pPr>
              <w:bidi w:val="0"/>
              <w:rPr>
                <w:sz w:val="24"/>
                <w:szCs w:val="24"/>
              </w:rPr>
            </w:pPr>
            <w:r w:rsidRPr="00302D5A">
              <w:rPr>
                <w:rFonts w:ascii="Times New Roman" w:hAnsi="Times New Roman" w:cs="Times New Roman"/>
                <w:color w:val="000000"/>
                <w:sz w:val="24"/>
                <w:szCs w:val="24"/>
              </w:rPr>
              <w:t>48.3</w:t>
            </w:r>
            <w:r w:rsidRPr="00302D5A">
              <w:rPr>
                <w:sz w:val="24"/>
                <w:szCs w:val="24"/>
              </w:rPr>
              <w:t xml:space="preserve"> </w:t>
            </w:r>
            <w:r w:rsidRPr="00302D5A">
              <w:rPr>
                <w:rFonts w:ascii="Times New Roman" w:hAnsi="Times New Roman" w:cs="Times New Roman"/>
                <w:sz w:val="24"/>
                <w:szCs w:val="24"/>
              </w:rPr>
              <w:t xml:space="preserve">± </w:t>
            </w:r>
            <w:r w:rsidRPr="00302D5A">
              <w:rPr>
                <w:rFonts w:ascii="Times New Roman" w:hAnsi="Times New Roman" w:cs="Times New Roman"/>
                <w:color w:val="000000"/>
                <w:sz w:val="24"/>
                <w:szCs w:val="24"/>
              </w:rPr>
              <w:t>5.</w:t>
            </w:r>
            <w:r>
              <w:rPr>
                <w:rFonts w:ascii="Times New Roman" w:hAnsi="Times New Roman" w:cs="Times New Roman"/>
                <w:color w:val="000000"/>
                <w:sz w:val="24"/>
                <w:szCs w:val="24"/>
              </w:rPr>
              <w:t>8</w:t>
            </w:r>
          </w:p>
        </w:tc>
        <w:tc>
          <w:tcPr>
            <w:tcW w:w="2131" w:type="dxa"/>
          </w:tcPr>
          <w:p w:rsidR="00DE2D79" w:rsidRPr="001C192D" w:rsidRDefault="00DE2D79" w:rsidP="00C567D2">
            <w:pPr>
              <w:bidi w:val="0"/>
              <w:rPr>
                <w:rFonts w:ascii="Times New Roman" w:hAnsi="Times New Roman" w:cs="Times New Roman"/>
                <w:b/>
                <w:bCs/>
                <w:sz w:val="24"/>
                <w:szCs w:val="24"/>
                <w:rtl/>
                <w:lang w:bidi="ar-EG"/>
              </w:rPr>
            </w:pPr>
            <w:r w:rsidRPr="001C192D">
              <w:rPr>
                <w:rFonts w:ascii="Times New Roman" w:hAnsi="Times New Roman" w:cs="Times New Roman"/>
                <w:b/>
                <w:bCs/>
                <w:color w:val="000000"/>
                <w:sz w:val="24"/>
                <w:szCs w:val="24"/>
              </w:rPr>
              <w:t>0.001</w:t>
            </w:r>
            <w:r w:rsidRPr="001C192D">
              <w:rPr>
                <w:rFonts w:ascii="Times New Roman" w:hAnsi="Times New Roman" w:cs="Times New Roman"/>
                <w:b/>
                <w:bCs/>
                <w:color w:val="000000"/>
                <w:sz w:val="24"/>
                <w:szCs w:val="24"/>
                <w:vertAlign w:val="superscript"/>
              </w:rPr>
              <w:t>*</w:t>
            </w:r>
          </w:p>
        </w:tc>
      </w:tr>
      <w:tr w:rsidR="00DE2D79" w:rsidTr="001B09CD">
        <w:tc>
          <w:tcPr>
            <w:tcW w:w="2130" w:type="dxa"/>
          </w:tcPr>
          <w:p w:rsidR="00DE2D79" w:rsidRPr="006A5072" w:rsidRDefault="00DE2D79" w:rsidP="00C567D2">
            <w:pPr>
              <w:autoSpaceDE w:val="0"/>
              <w:autoSpaceDN w:val="0"/>
              <w:bidi w:val="0"/>
              <w:adjustRightInd w:val="0"/>
              <w:spacing w:line="360" w:lineRule="auto"/>
              <w:jc w:val="both"/>
              <w:rPr>
                <w:rFonts w:ascii="Times New Roman" w:eastAsia="Calibri" w:hAnsi="Times New Roman" w:cs="Times New Roman"/>
                <w:b/>
                <w:bCs/>
                <w:i/>
                <w:iCs/>
                <w:sz w:val="24"/>
                <w:szCs w:val="24"/>
              </w:rPr>
            </w:pPr>
            <w:r w:rsidRPr="006A5072">
              <w:rPr>
                <w:rFonts w:ascii="Times New Roman" w:eastAsia="Calibri" w:hAnsi="Times New Roman" w:cs="Times New Roman"/>
                <w:b/>
                <w:bCs/>
                <w:i/>
                <w:iCs/>
                <w:sz w:val="24"/>
                <w:szCs w:val="24"/>
              </w:rPr>
              <w:lastRenderedPageBreak/>
              <w:t>LDL</w:t>
            </w:r>
            <w:r w:rsidR="006A5072">
              <w:rPr>
                <w:rFonts w:ascii="Times New Roman" w:eastAsia="Calibri" w:hAnsi="Times New Roman" w:cs="Times New Roman"/>
                <w:b/>
                <w:bCs/>
                <w:i/>
                <w:iCs/>
                <w:sz w:val="24"/>
                <w:szCs w:val="24"/>
              </w:rPr>
              <w:t xml:space="preserve">-c    </w:t>
            </w:r>
            <w:r w:rsidR="001C192D" w:rsidRPr="006A5072">
              <w:rPr>
                <w:rFonts w:ascii="Times New Roman" w:eastAsia="Calibri" w:hAnsi="Times New Roman" w:cs="Times New Roman"/>
                <w:b/>
                <w:bCs/>
                <w:i/>
                <w:iCs/>
                <w:sz w:val="24"/>
                <w:szCs w:val="24"/>
              </w:rPr>
              <w:t xml:space="preserve">     </w:t>
            </w:r>
            <w:r w:rsidR="001C192D" w:rsidRPr="006A5072">
              <w:rPr>
                <w:rFonts w:asciiTheme="majorBidi" w:hAnsiTheme="majorBidi" w:cstheme="majorBidi"/>
                <w:b/>
                <w:bCs/>
                <w:i/>
                <w:iCs/>
                <w:color w:val="000000"/>
                <w:sz w:val="24"/>
                <w:szCs w:val="24"/>
              </w:rPr>
              <w:t>mg/dl</w:t>
            </w:r>
          </w:p>
        </w:tc>
        <w:tc>
          <w:tcPr>
            <w:tcW w:w="2130" w:type="dxa"/>
          </w:tcPr>
          <w:p w:rsidR="0012548F" w:rsidRPr="00302D5A" w:rsidRDefault="0012548F" w:rsidP="00C567D2">
            <w:pPr>
              <w:bidi w:val="0"/>
              <w:rPr>
                <w:sz w:val="24"/>
                <w:szCs w:val="24"/>
              </w:rPr>
            </w:pPr>
            <w:r w:rsidRPr="00302D5A">
              <w:rPr>
                <w:rFonts w:ascii="Times New Roman" w:hAnsi="Times New Roman" w:cs="Times New Roman"/>
                <w:color w:val="000000"/>
                <w:sz w:val="24"/>
                <w:szCs w:val="24"/>
              </w:rPr>
              <w:t>121.</w:t>
            </w:r>
            <w:r>
              <w:rPr>
                <w:rFonts w:ascii="Times New Roman" w:hAnsi="Times New Roman" w:cs="Times New Roman"/>
                <w:color w:val="000000"/>
                <w:sz w:val="24"/>
                <w:szCs w:val="24"/>
              </w:rPr>
              <w:t>8</w:t>
            </w:r>
            <w:r w:rsidRPr="00302D5A">
              <w:rPr>
                <w:sz w:val="24"/>
                <w:szCs w:val="24"/>
              </w:rPr>
              <w:t xml:space="preserve"> </w:t>
            </w:r>
            <w:r w:rsidRPr="00302D5A">
              <w:rPr>
                <w:rFonts w:ascii="Times New Roman" w:hAnsi="Times New Roman" w:cs="Times New Roman"/>
                <w:sz w:val="24"/>
                <w:szCs w:val="24"/>
              </w:rPr>
              <w:t xml:space="preserve">± </w:t>
            </w:r>
            <w:r w:rsidRPr="00302D5A">
              <w:rPr>
                <w:rFonts w:ascii="Times New Roman" w:hAnsi="Times New Roman" w:cs="Times New Roman"/>
                <w:color w:val="000000"/>
                <w:sz w:val="24"/>
                <w:szCs w:val="24"/>
              </w:rPr>
              <w:t>38.6</w:t>
            </w:r>
          </w:p>
        </w:tc>
        <w:tc>
          <w:tcPr>
            <w:tcW w:w="2131" w:type="dxa"/>
          </w:tcPr>
          <w:p w:rsidR="00DE2D79" w:rsidRPr="00302D5A" w:rsidRDefault="0012548F" w:rsidP="00C567D2">
            <w:pPr>
              <w:bidi w:val="0"/>
              <w:rPr>
                <w:sz w:val="24"/>
                <w:szCs w:val="24"/>
              </w:rPr>
            </w:pPr>
            <w:r>
              <w:rPr>
                <w:rFonts w:ascii="Times New Roman" w:hAnsi="Times New Roman" w:cs="Times New Roman"/>
                <w:color w:val="000000"/>
                <w:sz w:val="24"/>
                <w:szCs w:val="24"/>
              </w:rPr>
              <w:t>102.1</w:t>
            </w:r>
            <w:r w:rsidRPr="00302D5A">
              <w:rPr>
                <w:rFonts w:ascii="Times New Roman" w:hAnsi="Times New Roman" w:cs="Times New Roman"/>
                <w:color w:val="000000"/>
                <w:sz w:val="24"/>
                <w:szCs w:val="24"/>
              </w:rPr>
              <w:t xml:space="preserve"> </w:t>
            </w:r>
            <w:r w:rsidRPr="00302D5A">
              <w:rPr>
                <w:rFonts w:ascii="Times New Roman" w:hAnsi="Times New Roman" w:cs="Times New Roman"/>
                <w:sz w:val="24"/>
                <w:szCs w:val="24"/>
              </w:rPr>
              <w:t xml:space="preserve">± </w:t>
            </w:r>
            <w:r w:rsidRPr="00302D5A">
              <w:rPr>
                <w:sz w:val="24"/>
                <w:szCs w:val="24"/>
              </w:rPr>
              <w:t xml:space="preserve"> </w:t>
            </w:r>
            <w:r w:rsidRPr="00302D5A">
              <w:rPr>
                <w:rFonts w:ascii="Times New Roman" w:hAnsi="Times New Roman" w:cs="Times New Roman"/>
                <w:color w:val="000000"/>
                <w:sz w:val="24"/>
                <w:szCs w:val="24"/>
              </w:rPr>
              <w:t>22.4</w:t>
            </w:r>
          </w:p>
        </w:tc>
        <w:tc>
          <w:tcPr>
            <w:tcW w:w="2131" w:type="dxa"/>
          </w:tcPr>
          <w:p w:rsidR="00DE2D79" w:rsidRPr="00302D5A" w:rsidRDefault="00DE2D79" w:rsidP="00C567D2">
            <w:pPr>
              <w:bidi w:val="0"/>
              <w:rPr>
                <w:rFonts w:ascii="Times New Roman" w:hAnsi="Times New Roman" w:cs="Times New Roman"/>
                <w:sz w:val="24"/>
                <w:szCs w:val="24"/>
                <w:rtl/>
                <w:lang w:bidi="ar-EG"/>
              </w:rPr>
            </w:pPr>
            <w:r>
              <w:rPr>
                <w:rFonts w:ascii="Times New Roman" w:hAnsi="Times New Roman" w:cs="Times New Roman"/>
                <w:color w:val="000000"/>
                <w:sz w:val="24"/>
                <w:szCs w:val="24"/>
              </w:rPr>
              <w:t>0</w:t>
            </w:r>
            <w:r w:rsidRPr="00302D5A">
              <w:rPr>
                <w:rFonts w:ascii="Times New Roman" w:hAnsi="Times New Roman" w:cs="Times New Roman"/>
                <w:color w:val="000000"/>
                <w:sz w:val="24"/>
                <w:szCs w:val="24"/>
              </w:rPr>
              <w:t>.122</w:t>
            </w:r>
          </w:p>
        </w:tc>
      </w:tr>
      <w:tr w:rsidR="006A5072" w:rsidTr="001B09CD">
        <w:tc>
          <w:tcPr>
            <w:tcW w:w="2130" w:type="dxa"/>
          </w:tcPr>
          <w:p w:rsidR="006A5072" w:rsidRPr="006A5072" w:rsidRDefault="006A5072" w:rsidP="00C567D2">
            <w:pPr>
              <w:autoSpaceDE w:val="0"/>
              <w:autoSpaceDN w:val="0"/>
              <w:bidi w:val="0"/>
              <w:adjustRightInd w:val="0"/>
              <w:spacing w:line="360"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HOMA      IR</w:t>
            </w:r>
          </w:p>
        </w:tc>
        <w:tc>
          <w:tcPr>
            <w:tcW w:w="2130" w:type="dxa"/>
          </w:tcPr>
          <w:p w:rsidR="006A5072" w:rsidRPr="00302D5A" w:rsidRDefault="00B06D59" w:rsidP="00C567D2">
            <w:pPr>
              <w:bidi w:val="0"/>
              <w:rPr>
                <w:rFonts w:ascii="Times New Roman" w:hAnsi="Times New Roman" w:cs="Times New Roman"/>
                <w:color w:val="000000"/>
                <w:sz w:val="24"/>
                <w:szCs w:val="24"/>
              </w:rPr>
            </w:pPr>
            <w:r w:rsidRPr="00B06D59">
              <w:rPr>
                <w:rFonts w:ascii="Times New Roman" w:hAnsi="Times New Roman" w:cs="Times New Roman"/>
                <w:color w:val="000000"/>
                <w:sz w:val="24"/>
                <w:szCs w:val="24"/>
              </w:rPr>
              <w:t>4.16± 3.9</w:t>
            </w:r>
          </w:p>
        </w:tc>
        <w:tc>
          <w:tcPr>
            <w:tcW w:w="2131" w:type="dxa"/>
          </w:tcPr>
          <w:p w:rsidR="006A5072" w:rsidRDefault="00B06D59" w:rsidP="00C567D2">
            <w:pPr>
              <w:bidi w:val="0"/>
              <w:rPr>
                <w:rFonts w:ascii="Times New Roman" w:hAnsi="Times New Roman" w:cs="Times New Roman"/>
                <w:color w:val="000000"/>
                <w:sz w:val="24"/>
                <w:szCs w:val="24"/>
              </w:rPr>
            </w:pPr>
            <w:r w:rsidRPr="00B06D59">
              <w:rPr>
                <w:rFonts w:ascii="Times New Roman" w:hAnsi="Times New Roman" w:cs="Times New Roman"/>
                <w:color w:val="000000"/>
                <w:sz w:val="24"/>
                <w:szCs w:val="24"/>
              </w:rPr>
              <w:t>3.47±1.6</w:t>
            </w:r>
          </w:p>
        </w:tc>
        <w:tc>
          <w:tcPr>
            <w:tcW w:w="2131" w:type="dxa"/>
          </w:tcPr>
          <w:p w:rsidR="006A5072" w:rsidRDefault="00B06D59" w:rsidP="00C567D2">
            <w:pPr>
              <w:bidi w:val="0"/>
              <w:rPr>
                <w:rFonts w:ascii="Times New Roman" w:hAnsi="Times New Roman" w:cs="Times New Roman"/>
                <w:color w:val="000000"/>
                <w:sz w:val="24"/>
                <w:szCs w:val="24"/>
              </w:rPr>
            </w:pPr>
            <w:r>
              <w:rPr>
                <w:rFonts w:ascii="Times New Roman" w:hAnsi="Times New Roman" w:cs="Times New Roman"/>
                <w:color w:val="000000"/>
                <w:sz w:val="24"/>
                <w:szCs w:val="24"/>
              </w:rPr>
              <w:t>0.77</w:t>
            </w:r>
          </w:p>
        </w:tc>
      </w:tr>
      <w:tr w:rsidR="00DE2D79" w:rsidTr="001B09CD">
        <w:tc>
          <w:tcPr>
            <w:tcW w:w="2130" w:type="dxa"/>
          </w:tcPr>
          <w:p w:rsidR="00DE2D79" w:rsidRPr="006A5072" w:rsidRDefault="00DE2D79" w:rsidP="00C567D2">
            <w:pPr>
              <w:autoSpaceDE w:val="0"/>
              <w:autoSpaceDN w:val="0"/>
              <w:bidi w:val="0"/>
              <w:adjustRightInd w:val="0"/>
              <w:spacing w:line="360" w:lineRule="auto"/>
              <w:jc w:val="both"/>
              <w:rPr>
                <w:rFonts w:ascii="Times New Roman" w:eastAsia="Calibri" w:hAnsi="Times New Roman" w:cs="Times New Roman"/>
                <w:b/>
                <w:bCs/>
                <w:i/>
                <w:iCs/>
                <w:sz w:val="24"/>
                <w:szCs w:val="24"/>
                <w:lang w:bidi="ar-EG"/>
              </w:rPr>
            </w:pPr>
            <w:r w:rsidRPr="006A5072">
              <w:rPr>
                <w:rFonts w:ascii="Times New Roman" w:eastAsia="Calibri" w:hAnsi="Times New Roman" w:cs="Times New Roman"/>
                <w:b/>
                <w:bCs/>
                <w:i/>
                <w:iCs/>
                <w:sz w:val="24"/>
                <w:szCs w:val="24"/>
              </w:rPr>
              <w:t>FGF21</w:t>
            </w:r>
            <w:r w:rsidR="006A5072">
              <w:rPr>
                <w:rFonts w:ascii="Times New Roman" w:eastAsia="Calibri" w:hAnsi="Times New Roman" w:cs="Times New Roman"/>
                <w:b/>
                <w:bCs/>
                <w:i/>
                <w:iCs/>
                <w:sz w:val="24"/>
                <w:szCs w:val="24"/>
                <w:lang w:bidi="ar-EG"/>
              </w:rPr>
              <w:t xml:space="preserve">   </w:t>
            </w:r>
            <w:r w:rsidR="006A5072">
              <w:rPr>
                <w:rFonts w:ascii="Times New Roman" w:hAnsi="Times New Roman" w:cs="Times New Roman"/>
                <w:b/>
                <w:bCs/>
                <w:i/>
                <w:iCs/>
                <w:sz w:val="24"/>
                <w:szCs w:val="24"/>
              </w:rPr>
              <w:t xml:space="preserve">   </w:t>
            </w:r>
            <w:r w:rsidR="006A5072" w:rsidRPr="00302D5A">
              <w:rPr>
                <w:rFonts w:ascii="Times New Roman" w:hAnsi="Times New Roman" w:cs="Times New Roman"/>
                <w:b/>
                <w:bCs/>
                <w:i/>
                <w:iCs/>
                <w:sz w:val="24"/>
                <w:szCs w:val="24"/>
              </w:rPr>
              <w:t>pg/mL</w:t>
            </w:r>
          </w:p>
        </w:tc>
        <w:tc>
          <w:tcPr>
            <w:tcW w:w="2130" w:type="dxa"/>
          </w:tcPr>
          <w:p w:rsidR="00DE2D79" w:rsidRDefault="001C192D" w:rsidP="00C567D2">
            <w:pPr>
              <w:autoSpaceDE w:val="0"/>
              <w:autoSpaceDN w:val="0"/>
              <w:bidi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325.8 </w:t>
            </w:r>
            <w:r w:rsidRPr="001C192D">
              <w:rPr>
                <w:rFonts w:ascii="Times New Roman" w:eastAsia="Calibri" w:hAnsi="Times New Roman" w:cs="Times New Roman"/>
                <w:sz w:val="24"/>
                <w:szCs w:val="24"/>
              </w:rPr>
              <w:t>± 129.</w:t>
            </w:r>
            <w:r>
              <w:rPr>
                <w:rFonts w:ascii="Times New Roman" w:eastAsia="Calibri" w:hAnsi="Times New Roman" w:cs="Times New Roman"/>
                <w:sz w:val="24"/>
                <w:szCs w:val="24"/>
              </w:rPr>
              <w:t>2</w:t>
            </w:r>
          </w:p>
        </w:tc>
        <w:tc>
          <w:tcPr>
            <w:tcW w:w="2131" w:type="dxa"/>
          </w:tcPr>
          <w:p w:rsidR="00DE2D79" w:rsidRDefault="001C192D" w:rsidP="00C567D2">
            <w:pPr>
              <w:autoSpaceDE w:val="0"/>
              <w:autoSpaceDN w:val="0"/>
              <w:bidi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202.2 </w:t>
            </w:r>
            <w:r w:rsidRPr="001C192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C192D">
              <w:rPr>
                <w:rFonts w:ascii="Times New Roman" w:eastAsia="Calibri" w:hAnsi="Times New Roman" w:cs="Times New Roman"/>
                <w:sz w:val="24"/>
                <w:szCs w:val="24"/>
              </w:rPr>
              <w:t>65.</w:t>
            </w:r>
            <w:r>
              <w:rPr>
                <w:rFonts w:ascii="Times New Roman" w:eastAsia="Calibri" w:hAnsi="Times New Roman" w:cs="Times New Roman"/>
                <w:sz w:val="24"/>
                <w:szCs w:val="24"/>
              </w:rPr>
              <w:t>8</w:t>
            </w:r>
          </w:p>
        </w:tc>
        <w:tc>
          <w:tcPr>
            <w:tcW w:w="2131" w:type="dxa"/>
          </w:tcPr>
          <w:p w:rsidR="00DE2D79" w:rsidRPr="001C192D" w:rsidRDefault="001C192D" w:rsidP="00C567D2">
            <w:pPr>
              <w:autoSpaceDE w:val="0"/>
              <w:autoSpaceDN w:val="0"/>
              <w:bidi w:val="0"/>
              <w:adjustRightInd w:val="0"/>
              <w:spacing w:line="360" w:lineRule="auto"/>
              <w:jc w:val="both"/>
              <w:rPr>
                <w:rFonts w:ascii="Times New Roman" w:eastAsia="Calibri" w:hAnsi="Times New Roman" w:cs="Times New Roman"/>
                <w:b/>
                <w:bCs/>
                <w:sz w:val="24"/>
                <w:szCs w:val="24"/>
              </w:rPr>
            </w:pPr>
            <w:r w:rsidRPr="001C192D">
              <w:rPr>
                <w:rFonts w:ascii="Times New Roman" w:eastAsia="Calibri" w:hAnsi="Times New Roman" w:cs="Times New Roman"/>
                <w:b/>
                <w:bCs/>
                <w:sz w:val="24"/>
                <w:szCs w:val="24"/>
              </w:rPr>
              <w:t>0.002</w:t>
            </w:r>
            <w:r w:rsidRPr="001C192D">
              <w:rPr>
                <w:rFonts w:ascii="Times New Roman" w:hAnsi="Times New Roman" w:cs="Times New Roman"/>
                <w:b/>
                <w:bCs/>
                <w:color w:val="000000"/>
                <w:sz w:val="24"/>
                <w:szCs w:val="24"/>
                <w:vertAlign w:val="superscript"/>
              </w:rPr>
              <w:t>*</w:t>
            </w:r>
          </w:p>
        </w:tc>
      </w:tr>
    </w:tbl>
    <w:p w:rsidR="00965906" w:rsidRDefault="00965906" w:rsidP="00965906">
      <w:pPr>
        <w:autoSpaceDE w:val="0"/>
        <w:autoSpaceDN w:val="0"/>
        <w:bidi w:val="0"/>
        <w:adjustRightInd w:val="0"/>
        <w:spacing w:after="0" w:line="360" w:lineRule="auto"/>
        <w:jc w:val="both"/>
        <w:rPr>
          <w:rFonts w:ascii="Times New Roman" w:hAnsi="Times New Roman" w:cs="Times New Roman"/>
          <w:sz w:val="24"/>
          <w:szCs w:val="24"/>
        </w:rPr>
      </w:pPr>
    </w:p>
    <w:p w:rsidR="00965906" w:rsidRPr="000E008C" w:rsidRDefault="00965906" w:rsidP="000E008C">
      <w:pPr>
        <w:autoSpaceDE w:val="0"/>
        <w:autoSpaceDN w:val="0"/>
        <w:bidi w:val="0"/>
        <w:adjustRightInd w:val="0"/>
        <w:spacing w:after="0" w:line="360" w:lineRule="auto"/>
        <w:ind w:firstLine="720"/>
        <w:jc w:val="both"/>
        <w:rPr>
          <w:rFonts w:ascii="Arial" w:hAnsi="Arial" w:cs="Arial"/>
          <w:sz w:val="20"/>
          <w:szCs w:val="20"/>
        </w:rPr>
      </w:pPr>
      <w:r w:rsidRPr="000E008C">
        <w:rPr>
          <w:rFonts w:ascii="Arial" w:hAnsi="Arial" w:cs="Arial"/>
          <w:sz w:val="20"/>
          <w:szCs w:val="20"/>
        </w:rPr>
        <w:t>Mean levels of serum HDL-c significantly decreased in the CHD patient versus the control group. The median levels of the DPB, SBP, serum TAG, and FGF-21 increased significantly in the CHD patient group as compared to the control group. However no significant differences were found in the CHD patient group versus the co</w:t>
      </w:r>
      <w:r w:rsidR="00ED6153" w:rsidRPr="000E008C">
        <w:rPr>
          <w:rFonts w:ascii="Arial" w:hAnsi="Arial" w:cs="Arial"/>
          <w:sz w:val="20"/>
          <w:szCs w:val="20"/>
        </w:rPr>
        <w:t>ntrol group as regards the mea</w:t>
      </w:r>
      <w:r w:rsidRPr="000E008C">
        <w:rPr>
          <w:rFonts w:ascii="Arial" w:hAnsi="Arial" w:cs="Arial"/>
          <w:sz w:val="20"/>
          <w:szCs w:val="20"/>
        </w:rPr>
        <w:t>n levels of the age, BMI, HOMA-IR, serum FBG, total cholesterol, serum LDL-c, and insulin (table 1).</w:t>
      </w:r>
    </w:p>
    <w:p w:rsidR="00965906" w:rsidRPr="000E008C" w:rsidRDefault="00965906" w:rsidP="000E008C">
      <w:pPr>
        <w:autoSpaceDE w:val="0"/>
        <w:autoSpaceDN w:val="0"/>
        <w:bidi w:val="0"/>
        <w:adjustRightInd w:val="0"/>
        <w:spacing w:after="0" w:line="360" w:lineRule="auto"/>
        <w:ind w:firstLine="720"/>
        <w:jc w:val="both"/>
        <w:rPr>
          <w:rFonts w:ascii="Arial" w:hAnsi="Arial" w:cs="Arial"/>
          <w:sz w:val="20"/>
          <w:szCs w:val="20"/>
        </w:rPr>
      </w:pPr>
      <w:r w:rsidRPr="000E008C">
        <w:rPr>
          <w:rFonts w:ascii="Arial" w:hAnsi="Arial" w:cs="Arial"/>
          <w:sz w:val="20"/>
          <w:szCs w:val="20"/>
        </w:rPr>
        <w:t>When we compared the results of the 3 groups of patients who did the coronary angiography according to their general characteristics and their laboratory findings, we found that there was a statistically significant relation between the 3 groups as regards the sex distribution with p-value= 0.008, other results are shown in table 2:</w:t>
      </w:r>
    </w:p>
    <w:p w:rsidR="00FB433B" w:rsidRPr="0005665D" w:rsidRDefault="005F46AF" w:rsidP="0005665D">
      <w:pPr>
        <w:bidi w:val="0"/>
        <w:spacing w:after="0" w:line="240" w:lineRule="auto"/>
        <w:rPr>
          <w:rFonts w:ascii="Arial" w:hAnsi="Arial" w:cs="Arial"/>
          <w:b/>
          <w:bCs/>
          <w:i/>
          <w:iCs/>
          <w:sz w:val="20"/>
          <w:szCs w:val="20"/>
        </w:rPr>
      </w:pPr>
      <w:r w:rsidRPr="0005665D">
        <w:rPr>
          <w:rFonts w:ascii="Arial" w:hAnsi="Arial" w:cs="Arial"/>
          <w:b/>
          <w:bCs/>
          <w:i/>
          <w:iCs/>
          <w:sz w:val="20"/>
          <w:szCs w:val="20"/>
        </w:rPr>
        <w:t>Table (2): comparison between the 3 groups of patients subjected to coronary angiography:</w:t>
      </w:r>
    </w:p>
    <w:tbl>
      <w:tblPr>
        <w:tblStyle w:val="TableGrid"/>
        <w:tblW w:w="0" w:type="auto"/>
        <w:tblLook w:val="04A0" w:firstRow="1" w:lastRow="0" w:firstColumn="1" w:lastColumn="0" w:noHBand="0" w:noVBand="1"/>
      </w:tblPr>
      <w:tblGrid>
        <w:gridCol w:w="2065"/>
        <w:gridCol w:w="1819"/>
        <w:gridCol w:w="1818"/>
        <w:gridCol w:w="2099"/>
        <w:gridCol w:w="1096"/>
      </w:tblGrid>
      <w:tr w:rsidR="00A837FC" w:rsidRPr="0005665D" w:rsidTr="00191785">
        <w:trPr>
          <w:trHeight w:val="637"/>
        </w:trPr>
        <w:tc>
          <w:tcPr>
            <w:tcW w:w="2065" w:type="dxa"/>
          </w:tcPr>
          <w:p w:rsidR="00A837FC" w:rsidRPr="0005665D" w:rsidRDefault="00A837FC" w:rsidP="0005665D">
            <w:pPr>
              <w:bidi w:val="0"/>
              <w:jc w:val="center"/>
              <w:rPr>
                <w:rFonts w:ascii="Arial" w:hAnsi="Arial" w:cs="Arial"/>
                <w:b/>
                <w:bCs/>
                <w:i/>
                <w:iCs/>
                <w:sz w:val="20"/>
                <w:szCs w:val="20"/>
              </w:rPr>
            </w:pPr>
          </w:p>
        </w:tc>
        <w:tc>
          <w:tcPr>
            <w:tcW w:w="1819" w:type="dxa"/>
          </w:tcPr>
          <w:p w:rsidR="00A837FC" w:rsidRPr="0005665D" w:rsidRDefault="00447DA7" w:rsidP="0005665D">
            <w:pPr>
              <w:bidi w:val="0"/>
              <w:jc w:val="center"/>
              <w:rPr>
                <w:rFonts w:ascii="Arial" w:hAnsi="Arial" w:cs="Arial"/>
                <w:b/>
                <w:bCs/>
                <w:i/>
                <w:iCs/>
                <w:sz w:val="20"/>
                <w:szCs w:val="20"/>
              </w:rPr>
            </w:pPr>
            <w:r w:rsidRPr="0005665D">
              <w:rPr>
                <w:rFonts w:ascii="Arial" w:hAnsi="Arial" w:cs="Arial"/>
                <w:b/>
                <w:bCs/>
                <w:i/>
                <w:iCs/>
                <w:sz w:val="20"/>
                <w:szCs w:val="20"/>
              </w:rPr>
              <w:t>Group A</w:t>
            </w:r>
          </w:p>
          <w:p w:rsidR="00447DA7" w:rsidRPr="0005665D" w:rsidRDefault="00447DA7" w:rsidP="0005665D">
            <w:pPr>
              <w:bidi w:val="0"/>
              <w:jc w:val="center"/>
              <w:rPr>
                <w:rFonts w:ascii="Arial" w:hAnsi="Arial" w:cs="Arial"/>
                <w:b/>
                <w:bCs/>
                <w:i/>
                <w:iCs/>
                <w:sz w:val="20"/>
                <w:szCs w:val="20"/>
              </w:rPr>
            </w:pPr>
            <w:r w:rsidRPr="0005665D">
              <w:rPr>
                <w:rFonts w:ascii="Arial" w:hAnsi="Arial" w:cs="Arial"/>
                <w:b/>
                <w:bCs/>
                <w:i/>
                <w:iCs/>
                <w:sz w:val="20"/>
                <w:szCs w:val="20"/>
              </w:rPr>
              <w:t xml:space="preserve">(n=15) </w:t>
            </w:r>
          </w:p>
        </w:tc>
        <w:tc>
          <w:tcPr>
            <w:tcW w:w="1818" w:type="dxa"/>
          </w:tcPr>
          <w:p w:rsidR="00A837FC" w:rsidRPr="0005665D" w:rsidRDefault="00447DA7" w:rsidP="0005665D">
            <w:pPr>
              <w:bidi w:val="0"/>
              <w:jc w:val="center"/>
              <w:rPr>
                <w:rFonts w:ascii="Arial" w:hAnsi="Arial" w:cs="Arial"/>
                <w:b/>
                <w:bCs/>
                <w:i/>
                <w:iCs/>
                <w:sz w:val="20"/>
                <w:szCs w:val="20"/>
              </w:rPr>
            </w:pPr>
            <w:r w:rsidRPr="0005665D">
              <w:rPr>
                <w:rFonts w:ascii="Arial" w:hAnsi="Arial" w:cs="Arial"/>
                <w:b/>
                <w:bCs/>
                <w:i/>
                <w:iCs/>
                <w:sz w:val="20"/>
                <w:szCs w:val="20"/>
              </w:rPr>
              <w:t>Group B</w:t>
            </w:r>
          </w:p>
          <w:p w:rsidR="00447DA7" w:rsidRPr="0005665D" w:rsidRDefault="00447DA7" w:rsidP="0005665D">
            <w:pPr>
              <w:bidi w:val="0"/>
              <w:jc w:val="center"/>
              <w:rPr>
                <w:rFonts w:ascii="Arial" w:hAnsi="Arial" w:cs="Arial"/>
                <w:b/>
                <w:bCs/>
                <w:i/>
                <w:iCs/>
                <w:sz w:val="20"/>
                <w:szCs w:val="20"/>
              </w:rPr>
            </w:pPr>
            <w:r w:rsidRPr="0005665D">
              <w:rPr>
                <w:rFonts w:ascii="Arial" w:hAnsi="Arial" w:cs="Arial"/>
                <w:b/>
                <w:bCs/>
                <w:i/>
                <w:iCs/>
                <w:sz w:val="20"/>
                <w:szCs w:val="20"/>
              </w:rPr>
              <w:t>(n=45)</w:t>
            </w:r>
          </w:p>
        </w:tc>
        <w:tc>
          <w:tcPr>
            <w:tcW w:w="2099" w:type="dxa"/>
          </w:tcPr>
          <w:p w:rsidR="00A837FC" w:rsidRPr="0005665D" w:rsidRDefault="00447DA7" w:rsidP="0005665D">
            <w:pPr>
              <w:bidi w:val="0"/>
              <w:jc w:val="center"/>
              <w:rPr>
                <w:rFonts w:ascii="Arial" w:hAnsi="Arial" w:cs="Arial"/>
                <w:b/>
                <w:bCs/>
                <w:i/>
                <w:iCs/>
                <w:sz w:val="20"/>
                <w:szCs w:val="20"/>
              </w:rPr>
            </w:pPr>
            <w:r w:rsidRPr="0005665D">
              <w:rPr>
                <w:rFonts w:ascii="Arial" w:hAnsi="Arial" w:cs="Arial"/>
                <w:b/>
                <w:bCs/>
                <w:i/>
                <w:iCs/>
                <w:sz w:val="20"/>
                <w:szCs w:val="20"/>
              </w:rPr>
              <w:t>Group C</w:t>
            </w:r>
          </w:p>
          <w:p w:rsidR="00447DA7" w:rsidRPr="0005665D" w:rsidRDefault="00447DA7" w:rsidP="0005665D">
            <w:pPr>
              <w:bidi w:val="0"/>
              <w:jc w:val="center"/>
              <w:rPr>
                <w:rFonts w:ascii="Arial" w:hAnsi="Arial" w:cs="Arial"/>
                <w:b/>
                <w:bCs/>
                <w:i/>
                <w:iCs/>
                <w:sz w:val="20"/>
                <w:szCs w:val="20"/>
              </w:rPr>
            </w:pPr>
            <w:r w:rsidRPr="0005665D">
              <w:rPr>
                <w:rFonts w:ascii="Arial" w:hAnsi="Arial" w:cs="Arial"/>
                <w:b/>
                <w:bCs/>
                <w:i/>
                <w:iCs/>
                <w:sz w:val="20"/>
                <w:szCs w:val="20"/>
              </w:rPr>
              <w:t>(n=10)</w:t>
            </w:r>
          </w:p>
        </w:tc>
        <w:tc>
          <w:tcPr>
            <w:tcW w:w="1096" w:type="dxa"/>
          </w:tcPr>
          <w:p w:rsidR="00A837FC" w:rsidRPr="0005665D" w:rsidRDefault="00191785" w:rsidP="0005665D">
            <w:pPr>
              <w:bidi w:val="0"/>
              <w:jc w:val="center"/>
              <w:rPr>
                <w:rFonts w:ascii="Arial" w:hAnsi="Arial" w:cs="Arial"/>
                <w:b/>
                <w:bCs/>
                <w:i/>
                <w:iCs/>
                <w:sz w:val="20"/>
                <w:szCs w:val="20"/>
              </w:rPr>
            </w:pPr>
            <w:r w:rsidRPr="0005665D">
              <w:rPr>
                <w:rFonts w:ascii="Arial" w:hAnsi="Arial" w:cs="Arial"/>
                <w:b/>
                <w:bCs/>
                <w:i/>
                <w:iCs/>
                <w:sz w:val="20"/>
                <w:szCs w:val="20"/>
              </w:rPr>
              <w:t>p- value</w:t>
            </w:r>
          </w:p>
        </w:tc>
      </w:tr>
      <w:tr w:rsidR="00A837FC" w:rsidRPr="0005665D" w:rsidTr="00191785">
        <w:trPr>
          <w:trHeight w:val="414"/>
        </w:trPr>
        <w:tc>
          <w:tcPr>
            <w:tcW w:w="2065" w:type="dxa"/>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Age  (yrs)</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47.8± 5.2</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55.0  ±  7.13</w:t>
            </w:r>
          </w:p>
        </w:tc>
        <w:tc>
          <w:tcPr>
            <w:tcW w:w="209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52.0   ± 5.9</w:t>
            </w:r>
          </w:p>
        </w:tc>
        <w:tc>
          <w:tcPr>
            <w:tcW w:w="1096"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0.002*</w:t>
            </w:r>
          </w:p>
        </w:tc>
      </w:tr>
      <w:tr w:rsidR="00A837FC" w:rsidRPr="0005665D" w:rsidTr="00191785">
        <w:trPr>
          <w:trHeight w:val="403"/>
        </w:trPr>
        <w:tc>
          <w:tcPr>
            <w:tcW w:w="2065" w:type="dxa"/>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BMI   Kg/ m2</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27.0 ± 1.6</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27.8  ±  1.6</w:t>
            </w:r>
          </w:p>
        </w:tc>
        <w:tc>
          <w:tcPr>
            <w:tcW w:w="209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27.7 ± 1.6</w:t>
            </w:r>
          </w:p>
        </w:tc>
        <w:tc>
          <w:tcPr>
            <w:tcW w:w="1096"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0.45</w:t>
            </w:r>
          </w:p>
        </w:tc>
      </w:tr>
      <w:tr w:rsidR="00A837FC" w:rsidRPr="0005665D" w:rsidTr="00191785">
        <w:trPr>
          <w:trHeight w:val="414"/>
        </w:trPr>
        <w:tc>
          <w:tcPr>
            <w:tcW w:w="2065"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 xml:space="preserve">Systolic  bl. </w:t>
            </w:r>
            <w:r w:rsidR="00F8154C" w:rsidRPr="0005665D">
              <w:rPr>
                <w:rFonts w:ascii="Arial" w:hAnsi="Arial" w:cs="Arial"/>
                <w:b/>
                <w:bCs/>
                <w:i/>
                <w:iCs/>
                <w:sz w:val="20"/>
                <w:szCs w:val="20"/>
              </w:rPr>
              <w:t>P</w:t>
            </w:r>
            <w:r w:rsidRPr="0005665D">
              <w:rPr>
                <w:rFonts w:ascii="Arial" w:hAnsi="Arial" w:cs="Arial"/>
                <w:b/>
                <w:bCs/>
                <w:i/>
                <w:iCs/>
                <w:sz w:val="20"/>
                <w:szCs w:val="20"/>
              </w:rPr>
              <w:t>ress</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129.0  ±  12.6</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146.5 ± 11.0</w:t>
            </w:r>
          </w:p>
        </w:tc>
        <w:tc>
          <w:tcPr>
            <w:tcW w:w="209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145.0 ± 17.7</w:t>
            </w:r>
          </w:p>
        </w:tc>
        <w:tc>
          <w:tcPr>
            <w:tcW w:w="1096"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tl/>
              </w:rPr>
              <w:t>&gt;</w:t>
            </w:r>
            <w:r w:rsidR="003B4339" w:rsidRPr="0005665D">
              <w:rPr>
                <w:rFonts w:ascii="Arial" w:hAnsi="Arial" w:cs="Arial"/>
                <w:b/>
                <w:bCs/>
                <w:i/>
                <w:iCs/>
                <w:sz w:val="20"/>
                <w:szCs w:val="20"/>
              </w:rPr>
              <w:t>0</w:t>
            </w:r>
            <w:r w:rsidRPr="0005665D">
              <w:rPr>
                <w:rFonts w:ascii="Arial" w:hAnsi="Arial" w:cs="Arial"/>
                <w:b/>
                <w:bCs/>
                <w:i/>
                <w:iCs/>
                <w:sz w:val="20"/>
                <w:szCs w:val="20"/>
              </w:rPr>
              <w:t>.001**</w:t>
            </w:r>
          </w:p>
        </w:tc>
      </w:tr>
      <w:tr w:rsidR="00A837FC" w:rsidRPr="0005665D" w:rsidTr="00191785">
        <w:trPr>
          <w:trHeight w:val="403"/>
        </w:trPr>
        <w:tc>
          <w:tcPr>
            <w:tcW w:w="2065"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Diastolic bl.</w:t>
            </w:r>
            <w:r w:rsidR="00AE53E1" w:rsidRPr="0005665D">
              <w:rPr>
                <w:rFonts w:ascii="Arial" w:hAnsi="Arial" w:cs="Arial"/>
                <w:b/>
                <w:bCs/>
                <w:i/>
                <w:iCs/>
                <w:sz w:val="20"/>
                <w:szCs w:val="20"/>
              </w:rPr>
              <w:t xml:space="preserve"> </w:t>
            </w:r>
            <w:r w:rsidR="00F8154C" w:rsidRPr="0005665D">
              <w:rPr>
                <w:rFonts w:ascii="Arial" w:hAnsi="Arial" w:cs="Arial"/>
                <w:b/>
                <w:bCs/>
                <w:i/>
                <w:iCs/>
                <w:sz w:val="20"/>
                <w:szCs w:val="20"/>
              </w:rPr>
              <w:t>P</w:t>
            </w:r>
            <w:r w:rsidRPr="0005665D">
              <w:rPr>
                <w:rFonts w:ascii="Arial" w:hAnsi="Arial" w:cs="Arial"/>
                <w:b/>
                <w:bCs/>
                <w:i/>
                <w:iCs/>
                <w:sz w:val="20"/>
                <w:szCs w:val="20"/>
              </w:rPr>
              <w:t>ress</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82.0  ± 8.8</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97.2 ± 15.87</w:t>
            </w:r>
          </w:p>
        </w:tc>
        <w:tc>
          <w:tcPr>
            <w:tcW w:w="209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93.1 ± 12.8</w:t>
            </w:r>
          </w:p>
        </w:tc>
        <w:tc>
          <w:tcPr>
            <w:tcW w:w="1096" w:type="dxa"/>
            <w:vAlign w:val="center"/>
          </w:tcPr>
          <w:p w:rsidR="00A837FC" w:rsidRPr="0005665D" w:rsidRDefault="003B4339" w:rsidP="0005665D">
            <w:pPr>
              <w:bidi w:val="0"/>
              <w:jc w:val="center"/>
              <w:rPr>
                <w:rFonts w:ascii="Arial" w:hAnsi="Arial" w:cs="Arial"/>
                <w:b/>
                <w:bCs/>
                <w:i/>
                <w:iCs/>
                <w:sz w:val="20"/>
                <w:szCs w:val="20"/>
              </w:rPr>
            </w:pPr>
            <w:r w:rsidRPr="0005665D">
              <w:rPr>
                <w:rFonts w:ascii="Arial" w:hAnsi="Arial" w:cs="Arial" w:hint="cs"/>
                <w:b/>
                <w:bCs/>
                <w:i/>
                <w:iCs/>
                <w:sz w:val="20"/>
                <w:szCs w:val="20"/>
                <w:rtl/>
              </w:rPr>
              <w:t xml:space="preserve"> </w:t>
            </w:r>
            <w:r w:rsidRPr="0005665D">
              <w:rPr>
                <w:rFonts w:ascii="Arial" w:hAnsi="Arial" w:cs="Arial"/>
                <w:b/>
                <w:bCs/>
                <w:i/>
                <w:iCs/>
                <w:sz w:val="20"/>
                <w:szCs w:val="20"/>
              </w:rPr>
              <w:t>0</w:t>
            </w:r>
            <w:r w:rsidR="00A837FC" w:rsidRPr="0005665D">
              <w:rPr>
                <w:rFonts w:ascii="Arial" w:hAnsi="Arial" w:cs="Arial"/>
                <w:b/>
                <w:bCs/>
                <w:i/>
                <w:iCs/>
                <w:sz w:val="20"/>
                <w:szCs w:val="20"/>
              </w:rPr>
              <w:t>.001**</w:t>
            </w:r>
            <w:r w:rsidRPr="0005665D">
              <w:rPr>
                <w:rFonts w:ascii="Arial" w:hAnsi="Arial" w:cs="Arial"/>
                <w:b/>
                <w:bCs/>
                <w:i/>
                <w:iCs/>
                <w:sz w:val="20"/>
                <w:szCs w:val="20"/>
              </w:rPr>
              <w:t xml:space="preserve"> </w:t>
            </w:r>
          </w:p>
        </w:tc>
      </w:tr>
      <w:tr w:rsidR="00A837FC" w:rsidRPr="0005665D" w:rsidTr="00191785">
        <w:trPr>
          <w:trHeight w:val="414"/>
        </w:trPr>
        <w:tc>
          <w:tcPr>
            <w:tcW w:w="2065"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 xml:space="preserve">FBG      mg/dl         </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92.2 ±  12.4</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144.1 ± 77.3</w:t>
            </w:r>
          </w:p>
        </w:tc>
        <w:tc>
          <w:tcPr>
            <w:tcW w:w="209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154.6 ± 71.3</w:t>
            </w:r>
          </w:p>
        </w:tc>
        <w:tc>
          <w:tcPr>
            <w:tcW w:w="1096"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0.007*</w:t>
            </w:r>
          </w:p>
        </w:tc>
      </w:tr>
      <w:tr w:rsidR="00A837FC" w:rsidRPr="0005665D" w:rsidTr="00191785">
        <w:trPr>
          <w:trHeight w:val="403"/>
        </w:trPr>
        <w:tc>
          <w:tcPr>
            <w:tcW w:w="2065"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Insulin   µIU/mL</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10.8 ± 7.41</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12.5 ±  6.9</w:t>
            </w:r>
          </w:p>
        </w:tc>
        <w:tc>
          <w:tcPr>
            <w:tcW w:w="209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13.9 ± 7.5</w:t>
            </w:r>
          </w:p>
        </w:tc>
        <w:tc>
          <w:tcPr>
            <w:tcW w:w="1096"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0.56</w:t>
            </w:r>
          </w:p>
        </w:tc>
      </w:tr>
      <w:tr w:rsidR="00A837FC" w:rsidRPr="0005665D" w:rsidTr="00191785">
        <w:trPr>
          <w:trHeight w:val="403"/>
        </w:trPr>
        <w:tc>
          <w:tcPr>
            <w:tcW w:w="2065"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Cholesterol mg/dl</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179.0  ±  36.7</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192.6 ± 42.9</w:t>
            </w:r>
          </w:p>
        </w:tc>
        <w:tc>
          <w:tcPr>
            <w:tcW w:w="209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162.4 ±  55.1</w:t>
            </w:r>
          </w:p>
        </w:tc>
        <w:tc>
          <w:tcPr>
            <w:tcW w:w="1096"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0.22</w:t>
            </w:r>
          </w:p>
        </w:tc>
      </w:tr>
      <w:tr w:rsidR="00A837FC" w:rsidRPr="0005665D" w:rsidTr="00191785">
        <w:trPr>
          <w:trHeight w:val="414"/>
        </w:trPr>
        <w:tc>
          <w:tcPr>
            <w:tcW w:w="2065"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TG            mg/dl</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116.4  ±  51.0</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144.9 ± 53.7</w:t>
            </w:r>
          </w:p>
        </w:tc>
        <w:tc>
          <w:tcPr>
            <w:tcW w:w="209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106.3 ±  63.8</w:t>
            </w:r>
          </w:p>
        </w:tc>
        <w:tc>
          <w:tcPr>
            <w:tcW w:w="1096"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0.011*</w:t>
            </w:r>
          </w:p>
        </w:tc>
      </w:tr>
      <w:tr w:rsidR="00A837FC" w:rsidRPr="0005665D" w:rsidTr="00191785">
        <w:trPr>
          <w:trHeight w:val="403"/>
        </w:trPr>
        <w:tc>
          <w:tcPr>
            <w:tcW w:w="2065" w:type="dxa"/>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HDL-c        mg/dl</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41.1 ± 8.56</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36.7 ± 11.52</w:t>
            </w:r>
          </w:p>
        </w:tc>
        <w:tc>
          <w:tcPr>
            <w:tcW w:w="209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33.3 ± 10.2</w:t>
            </w:r>
          </w:p>
        </w:tc>
        <w:tc>
          <w:tcPr>
            <w:tcW w:w="1096"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0.22</w:t>
            </w:r>
          </w:p>
        </w:tc>
      </w:tr>
      <w:tr w:rsidR="00A837FC" w:rsidRPr="0005665D" w:rsidTr="00191785">
        <w:trPr>
          <w:trHeight w:val="414"/>
        </w:trPr>
        <w:tc>
          <w:tcPr>
            <w:tcW w:w="2065" w:type="dxa"/>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LDL-c         mg/dl</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114.6 ± 32.8</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124.5 ± 36.4</w:t>
            </w:r>
          </w:p>
        </w:tc>
        <w:tc>
          <w:tcPr>
            <w:tcW w:w="209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107.8 ± 55.4</w:t>
            </w:r>
          </w:p>
        </w:tc>
        <w:tc>
          <w:tcPr>
            <w:tcW w:w="1096"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0.43</w:t>
            </w:r>
          </w:p>
        </w:tc>
      </w:tr>
      <w:tr w:rsidR="000341F5" w:rsidRPr="0005665D" w:rsidTr="00191785">
        <w:trPr>
          <w:trHeight w:val="403"/>
        </w:trPr>
        <w:tc>
          <w:tcPr>
            <w:tcW w:w="2065" w:type="dxa"/>
          </w:tcPr>
          <w:p w:rsidR="000341F5" w:rsidRPr="0005665D" w:rsidRDefault="000341F5" w:rsidP="0005665D">
            <w:pPr>
              <w:bidi w:val="0"/>
              <w:jc w:val="center"/>
              <w:rPr>
                <w:rFonts w:ascii="Arial" w:hAnsi="Arial" w:cs="Arial"/>
                <w:b/>
                <w:bCs/>
                <w:i/>
                <w:iCs/>
                <w:sz w:val="20"/>
                <w:szCs w:val="20"/>
              </w:rPr>
            </w:pPr>
            <w:r w:rsidRPr="0005665D">
              <w:rPr>
                <w:rFonts w:ascii="Arial" w:hAnsi="Arial" w:cs="Arial"/>
                <w:b/>
                <w:bCs/>
                <w:i/>
                <w:iCs/>
                <w:sz w:val="20"/>
                <w:szCs w:val="20"/>
              </w:rPr>
              <w:t>HOMA      IR</w:t>
            </w:r>
          </w:p>
        </w:tc>
        <w:tc>
          <w:tcPr>
            <w:tcW w:w="1819" w:type="dxa"/>
            <w:vAlign w:val="center"/>
          </w:tcPr>
          <w:p w:rsidR="000341F5" w:rsidRPr="0005665D" w:rsidRDefault="000341F5" w:rsidP="0005665D">
            <w:pPr>
              <w:bidi w:val="0"/>
              <w:jc w:val="center"/>
              <w:rPr>
                <w:rFonts w:ascii="Arial" w:hAnsi="Arial" w:cs="Arial"/>
                <w:b/>
                <w:bCs/>
                <w:i/>
                <w:iCs/>
                <w:sz w:val="20"/>
                <w:szCs w:val="20"/>
              </w:rPr>
            </w:pPr>
            <w:r w:rsidRPr="0005665D">
              <w:rPr>
                <w:rFonts w:ascii="Arial" w:hAnsi="Arial" w:cs="Arial"/>
                <w:b/>
                <w:bCs/>
                <w:i/>
                <w:iCs/>
                <w:sz w:val="20"/>
                <w:szCs w:val="20"/>
              </w:rPr>
              <w:t>2.40 ± 1.6</w:t>
            </w:r>
          </w:p>
        </w:tc>
        <w:tc>
          <w:tcPr>
            <w:tcW w:w="1818" w:type="dxa"/>
            <w:vAlign w:val="center"/>
          </w:tcPr>
          <w:p w:rsidR="000341F5" w:rsidRPr="0005665D" w:rsidRDefault="000341F5" w:rsidP="0005665D">
            <w:pPr>
              <w:bidi w:val="0"/>
              <w:jc w:val="center"/>
              <w:rPr>
                <w:rFonts w:ascii="Arial" w:hAnsi="Arial" w:cs="Arial"/>
                <w:b/>
                <w:bCs/>
                <w:i/>
                <w:iCs/>
                <w:sz w:val="20"/>
                <w:szCs w:val="20"/>
              </w:rPr>
            </w:pPr>
            <w:r w:rsidRPr="0005665D">
              <w:rPr>
                <w:rFonts w:ascii="Arial" w:hAnsi="Arial" w:cs="Arial"/>
                <w:b/>
                <w:bCs/>
                <w:i/>
                <w:iCs/>
                <w:sz w:val="20"/>
                <w:szCs w:val="20"/>
              </w:rPr>
              <w:t>4.5 ± 4.1</w:t>
            </w:r>
          </w:p>
        </w:tc>
        <w:tc>
          <w:tcPr>
            <w:tcW w:w="2099" w:type="dxa"/>
            <w:vAlign w:val="center"/>
          </w:tcPr>
          <w:p w:rsidR="000341F5" w:rsidRPr="0005665D" w:rsidRDefault="000341F5" w:rsidP="0005665D">
            <w:pPr>
              <w:bidi w:val="0"/>
              <w:jc w:val="center"/>
              <w:rPr>
                <w:rFonts w:ascii="Arial" w:hAnsi="Arial" w:cs="Arial"/>
                <w:b/>
                <w:bCs/>
                <w:i/>
                <w:iCs/>
                <w:sz w:val="20"/>
                <w:szCs w:val="20"/>
              </w:rPr>
            </w:pPr>
            <w:r w:rsidRPr="0005665D">
              <w:rPr>
                <w:rFonts w:ascii="Arial" w:hAnsi="Arial" w:cs="Arial"/>
                <w:b/>
                <w:bCs/>
                <w:i/>
                <w:iCs/>
                <w:sz w:val="20"/>
                <w:szCs w:val="20"/>
              </w:rPr>
              <w:t>5.60 ± 5.2</w:t>
            </w:r>
          </w:p>
        </w:tc>
        <w:tc>
          <w:tcPr>
            <w:tcW w:w="1096" w:type="dxa"/>
            <w:vAlign w:val="center"/>
          </w:tcPr>
          <w:p w:rsidR="000341F5" w:rsidRPr="0005665D" w:rsidRDefault="000341F5" w:rsidP="0005665D">
            <w:pPr>
              <w:bidi w:val="0"/>
              <w:jc w:val="center"/>
              <w:rPr>
                <w:rFonts w:ascii="Arial" w:hAnsi="Arial" w:cs="Arial"/>
                <w:b/>
                <w:bCs/>
                <w:i/>
                <w:iCs/>
                <w:sz w:val="20"/>
                <w:szCs w:val="20"/>
              </w:rPr>
            </w:pPr>
            <w:r w:rsidRPr="0005665D">
              <w:rPr>
                <w:rFonts w:ascii="Arial" w:hAnsi="Arial" w:cs="Arial"/>
                <w:b/>
                <w:bCs/>
                <w:i/>
                <w:iCs/>
                <w:sz w:val="20"/>
                <w:szCs w:val="20"/>
              </w:rPr>
              <w:t>0.03*</w:t>
            </w:r>
          </w:p>
        </w:tc>
      </w:tr>
      <w:tr w:rsidR="00A837FC" w:rsidRPr="0005665D" w:rsidTr="00191785">
        <w:trPr>
          <w:trHeight w:val="424"/>
        </w:trPr>
        <w:tc>
          <w:tcPr>
            <w:tcW w:w="2065" w:type="dxa"/>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FGF21      pg/mL</w:t>
            </w:r>
          </w:p>
        </w:tc>
        <w:tc>
          <w:tcPr>
            <w:tcW w:w="1819"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303.1± 119.6</w:t>
            </w:r>
          </w:p>
        </w:tc>
        <w:tc>
          <w:tcPr>
            <w:tcW w:w="1818"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334.9± 133.2</w:t>
            </w:r>
          </w:p>
        </w:tc>
        <w:tc>
          <w:tcPr>
            <w:tcW w:w="2099" w:type="dxa"/>
            <w:vAlign w:val="center"/>
          </w:tcPr>
          <w:p w:rsidR="00A837FC" w:rsidRPr="0005665D" w:rsidRDefault="00FB433B" w:rsidP="0005665D">
            <w:pPr>
              <w:bidi w:val="0"/>
              <w:jc w:val="center"/>
              <w:rPr>
                <w:rFonts w:ascii="Arial" w:hAnsi="Arial" w:cs="Arial"/>
                <w:b/>
                <w:bCs/>
                <w:i/>
                <w:iCs/>
                <w:sz w:val="20"/>
                <w:szCs w:val="20"/>
              </w:rPr>
            </w:pPr>
            <w:r w:rsidRPr="0005665D">
              <w:rPr>
                <w:rFonts w:ascii="Arial" w:hAnsi="Arial" w:cs="Arial"/>
                <w:b/>
                <w:bCs/>
                <w:i/>
                <w:iCs/>
                <w:sz w:val="20"/>
                <w:szCs w:val="20"/>
              </w:rPr>
              <w:t>318.9 ± 132.8</w:t>
            </w:r>
          </w:p>
        </w:tc>
        <w:tc>
          <w:tcPr>
            <w:tcW w:w="1096" w:type="dxa"/>
            <w:vAlign w:val="center"/>
          </w:tcPr>
          <w:p w:rsidR="00A837FC" w:rsidRPr="0005665D" w:rsidRDefault="00A837FC" w:rsidP="0005665D">
            <w:pPr>
              <w:bidi w:val="0"/>
              <w:jc w:val="center"/>
              <w:rPr>
                <w:rFonts w:ascii="Arial" w:hAnsi="Arial" w:cs="Arial"/>
                <w:b/>
                <w:bCs/>
                <w:i/>
                <w:iCs/>
                <w:sz w:val="20"/>
                <w:szCs w:val="20"/>
              </w:rPr>
            </w:pPr>
            <w:r w:rsidRPr="0005665D">
              <w:rPr>
                <w:rFonts w:ascii="Arial" w:hAnsi="Arial" w:cs="Arial"/>
                <w:b/>
                <w:bCs/>
                <w:i/>
                <w:iCs/>
                <w:sz w:val="20"/>
                <w:szCs w:val="20"/>
              </w:rPr>
              <w:t>0.</w:t>
            </w:r>
            <w:r w:rsidR="00FB433B" w:rsidRPr="0005665D">
              <w:rPr>
                <w:rFonts w:ascii="Arial" w:hAnsi="Arial" w:cs="Arial"/>
                <w:b/>
                <w:bCs/>
                <w:i/>
                <w:iCs/>
                <w:sz w:val="20"/>
                <w:szCs w:val="20"/>
              </w:rPr>
              <w:t>0</w:t>
            </w:r>
            <w:r w:rsidRPr="0005665D">
              <w:rPr>
                <w:rFonts w:ascii="Arial" w:hAnsi="Arial" w:cs="Arial"/>
                <w:b/>
                <w:bCs/>
                <w:i/>
                <w:iCs/>
                <w:sz w:val="20"/>
                <w:szCs w:val="20"/>
              </w:rPr>
              <w:t>4</w:t>
            </w:r>
            <w:r w:rsidR="00FB433B" w:rsidRPr="0005665D">
              <w:rPr>
                <w:rFonts w:ascii="Arial" w:hAnsi="Arial" w:cs="Arial"/>
                <w:b/>
                <w:bCs/>
                <w:i/>
                <w:iCs/>
                <w:sz w:val="20"/>
                <w:szCs w:val="20"/>
              </w:rPr>
              <w:t>*</w:t>
            </w:r>
          </w:p>
        </w:tc>
      </w:tr>
    </w:tbl>
    <w:p w:rsidR="00C7428F" w:rsidRPr="0005665D" w:rsidRDefault="00C7428F" w:rsidP="0005665D">
      <w:pPr>
        <w:bidi w:val="0"/>
        <w:spacing w:after="0" w:line="240" w:lineRule="auto"/>
        <w:jc w:val="center"/>
        <w:rPr>
          <w:rFonts w:ascii="Arial" w:hAnsi="Arial" w:cs="Arial"/>
          <w:b/>
          <w:bCs/>
          <w:i/>
          <w:iCs/>
          <w:sz w:val="20"/>
          <w:szCs w:val="20"/>
        </w:rPr>
      </w:pPr>
    </w:p>
    <w:p w:rsidR="00C7428F" w:rsidRPr="00FC27BD" w:rsidRDefault="00C7428F" w:rsidP="00FC27BD">
      <w:pPr>
        <w:autoSpaceDE w:val="0"/>
        <w:autoSpaceDN w:val="0"/>
        <w:bidi w:val="0"/>
        <w:adjustRightInd w:val="0"/>
        <w:spacing w:after="0" w:line="360" w:lineRule="auto"/>
        <w:ind w:firstLine="720"/>
        <w:jc w:val="both"/>
        <w:rPr>
          <w:rFonts w:ascii="Arial" w:hAnsi="Arial" w:cs="Arial"/>
          <w:sz w:val="20"/>
          <w:szCs w:val="20"/>
        </w:rPr>
      </w:pPr>
      <w:r w:rsidRPr="00FC27BD">
        <w:rPr>
          <w:rFonts w:ascii="Arial" w:hAnsi="Arial" w:cs="Arial"/>
          <w:sz w:val="20"/>
          <w:szCs w:val="20"/>
        </w:rPr>
        <w:t>The 60 patients with coronary lesions proved by coronary angiography were then classified according to number of affected vessels (showing more than 50% stenosis) into;</w:t>
      </w:r>
    </w:p>
    <w:p w:rsidR="00C7428F" w:rsidRPr="00FC27BD" w:rsidRDefault="00C7428F" w:rsidP="00FC27BD">
      <w:pPr>
        <w:autoSpaceDE w:val="0"/>
        <w:autoSpaceDN w:val="0"/>
        <w:bidi w:val="0"/>
        <w:adjustRightInd w:val="0"/>
        <w:spacing w:after="0" w:line="360" w:lineRule="auto"/>
        <w:ind w:firstLine="720"/>
        <w:jc w:val="both"/>
        <w:rPr>
          <w:rFonts w:ascii="Arial" w:hAnsi="Arial" w:cs="Arial"/>
          <w:sz w:val="20"/>
          <w:szCs w:val="20"/>
        </w:rPr>
      </w:pPr>
      <w:r w:rsidRPr="00FC27BD">
        <w:rPr>
          <w:rFonts w:ascii="Arial" w:hAnsi="Arial" w:cs="Arial"/>
          <w:sz w:val="20"/>
          <w:szCs w:val="20"/>
        </w:rPr>
        <w:t>Sub-group (1): 21 patients had one vessel disease (35%).</w:t>
      </w:r>
    </w:p>
    <w:p w:rsidR="00C7428F" w:rsidRPr="00FC27BD" w:rsidRDefault="00C7428F" w:rsidP="00FC27BD">
      <w:pPr>
        <w:autoSpaceDE w:val="0"/>
        <w:autoSpaceDN w:val="0"/>
        <w:bidi w:val="0"/>
        <w:adjustRightInd w:val="0"/>
        <w:spacing w:after="0" w:line="360" w:lineRule="auto"/>
        <w:ind w:firstLine="720"/>
        <w:jc w:val="both"/>
        <w:rPr>
          <w:rFonts w:ascii="Arial" w:hAnsi="Arial" w:cs="Arial"/>
          <w:sz w:val="20"/>
          <w:szCs w:val="20"/>
        </w:rPr>
      </w:pPr>
      <w:r w:rsidRPr="00FC27BD">
        <w:rPr>
          <w:rFonts w:ascii="Arial" w:hAnsi="Arial" w:cs="Arial"/>
          <w:sz w:val="20"/>
          <w:szCs w:val="20"/>
        </w:rPr>
        <w:t>Sub-group (2): 17 patients had two vessel diseases (28.3%).</w:t>
      </w:r>
    </w:p>
    <w:p w:rsidR="00C7428F" w:rsidRPr="00FC27BD" w:rsidRDefault="00C7428F" w:rsidP="00FC27BD">
      <w:pPr>
        <w:autoSpaceDE w:val="0"/>
        <w:autoSpaceDN w:val="0"/>
        <w:bidi w:val="0"/>
        <w:adjustRightInd w:val="0"/>
        <w:spacing w:after="0" w:line="360" w:lineRule="auto"/>
        <w:ind w:firstLine="720"/>
        <w:jc w:val="both"/>
        <w:rPr>
          <w:rFonts w:ascii="Arial" w:hAnsi="Arial" w:cs="Arial"/>
          <w:sz w:val="20"/>
          <w:szCs w:val="20"/>
        </w:rPr>
      </w:pPr>
      <w:r w:rsidRPr="00FC27BD">
        <w:rPr>
          <w:rFonts w:ascii="Arial" w:hAnsi="Arial" w:cs="Arial"/>
          <w:sz w:val="20"/>
          <w:szCs w:val="20"/>
        </w:rPr>
        <w:t>Sub-group (3): 22 patients had multi-vessel disease (36.7%).</w:t>
      </w:r>
    </w:p>
    <w:p w:rsidR="00FB433B" w:rsidRPr="00FC27BD" w:rsidRDefault="00FB433B" w:rsidP="00FC27BD">
      <w:pPr>
        <w:autoSpaceDE w:val="0"/>
        <w:autoSpaceDN w:val="0"/>
        <w:bidi w:val="0"/>
        <w:adjustRightInd w:val="0"/>
        <w:spacing w:after="0" w:line="360" w:lineRule="auto"/>
        <w:ind w:firstLine="720"/>
        <w:jc w:val="both"/>
        <w:rPr>
          <w:rFonts w:ascii="Arial" w:hAnsi="Arial" w:cs="Arial"/>
          <w:sz w:val="20"/>
          <w:szCs w:val="20"/>
        </w:rPr>
      </w:pPr>
      <w:r w:rsidRPr="00FC27BD">
        <w:rPr>
          <w:rFonts w:ascii="Arial" w:hAnsi="Arial" w:cs="Arial"/>
          <w:sz w:val="20"/>
          <w:szCs w:val="20"/>
        </w:rPr>
        <w:t>Comparison between the 4 groups in relation to the general characteristics and laboratory findings as shown in table 3 and 4:</w:t>
      </w:r>
    </w:p>
    <w:p w:rsidR="00F321C0" w:rsidRPr="00FC27BD" w:rsidRDefault="00F321C0" w:rsidP="00FC27BD">
      <w:pPr>
        <w:autoSpaceDE w:val="0"/>
        <w:autoSpaceDN w:val="0"/>
        <w:bidi w:val="0"/>
        <w:adjustRightInd w:val="0"/>
        <w:spacing w:after="0" w:line="360" w:lineRule="auto"/>
        <w:ind w:firstLine="720"/>
        <w:jc w:val="both"/>
        <w:rPr>
          <w:rFonts w:ascii="Arial" w:hAnsi="Arial" w:cs="Arial"/>
          <w:sz w:val="20"/>
          <w:szCs w:val="20"/>
        </w:rPr>
      </w:pPr>
      <w:r w:rsidRPr="00FC27BD">
        <w:rPr>
          <w:rFonts w:ascii="Arial" w:hAnsi="Arial" w:cs="Arial"/>
          <w:sz w:val="20"/>
          <w:szCs w:val="20"/>
        </w:rPr>
        <w:lastRenderedPageBreak/>
        <w:t>Mean levels of serum HDL-c significantly decreased in the subgroup with multi-vessel diseased patients (MVD) versus all other subgroups and mean levels of FGF21, BMI, DM duration and both systolic and diastolic blood pressure were significantly high in MVD group versus other groups. No significant differences in the mean levels of serum LDL-c, HOMA IR and insulin between the four groups (table 4).</w:t>
      </w:r>
    </w:p>
    <w:p w:rsidR="00FB433B" w:rsidRPr="00FC27BD" w:rsidRDefault="003E0D74" w:rsidP="0005665D">
      <w:pPr>
        <w:bidi w:val="0"/>
        <w:spacing w:after="0" w:line="240" w:lineRule="auto"/>
        <w:jc w:val="center"/>
        <w:rPr>
          <w:rFonts w:ascii="Arial" w:hAnsi="Arial" w:cs="Arial"/>
          <w:b/>
          <w:bCs/>
          <w:i/>
          <w:iCs/>
          <w:sz w:val="20"/>
          <w:szCs w:val="20"/>
        </w:rPr>
      </w:pPr>
      <w:r w:rsidRPr="00FC27BD">
        <w:rPr>
          <w:rFonts w:ascii="Arial" w:hAnsi="Arial" w:cs="Arial"/>
          <w:b/>
          <w:bCs/>
          <w:i/>
          <w:iCs/>
          <w:sz w:val="20"/>
          <w:szCs w:val="20"/>
        </w:rPr>
        <w:t>Table (3): comparison between different groups according to sex, DM and HTN:</w:t>
      </w:r>
    </w:p>
    <w:tbl>
      <w:tblPr>
        <w:tblStyle w:val="TableGrid"/>
        <w:tblW w:w="0" w:type="auto"/>
        <w:tblInd w:w="-176" w:type="dxa"/>
        <w:tblLook w:val="04A0" w:firstRow="1" w:lastRow="0" w:firstColumn="1" w:lastColumn="0" w:noHBand="0" w:noVBand="1"/>
      </w:tblPr>
      <w:tblGrid>
        <w:gridCol w:w="1560"/>
        <w:gridCol w:w="1559"/>
        <w:gridCol w:w="1701"/>
        <w:gridCol w:w="1532"/>
        <w:gridCol w:w="1587"/>
        <w:gridCol w:w="1141"/>
      </w:tblGrid>
      <w:tr w:rsidR="00FB433B" w:rsidRPr="00FC27BD" w:rsidTr="00FB433B">
        <w:tc>
          <w:tcPr>
            <w:tcW w:w="1560" w:type="dxa"/>
          </w:tcPr>
          <w:p w:rsidR="00FB433B" w:rsidRPr="00FC27BD" w:rsidRDefault="00FB433B" w:rsidP="0005665D">
            <w:pPr>
              <w:bidi w:val="0"/>
              <w:jc w:val="center"/>
              <w:rPr>
                <w:rFonts w:ascii="Arial" w:hAnsi="Arial" w:cs="Arial"/>
                <w:b/>
                <w:bCs/>
                <w:i/>
                <w:iCs/>
                <w:sz w:val="20"/>
                <w:szCs w:val="20"/>
              </w:rPr>
            </w:pPr>
          </w:p>
        </w:tc>
        <w:tc>
          <w:tcPr>
            <w:tcW w:w="1559" w:type="dxa"/>
            <w:vAlign w:val="center"/>
          </w:tcPr>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MVD group</w:t>
            </w:r>
          </w:p>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(n=22)</w:t>
            </w:r>
          </w:p>
        </w:tc>
        <w:tc>
          <w:tcPr>
            <w:tcW w:w="1701" w:type="dxa"/>
            <w:vAlign w:val="center"/>
          </w:tcPr>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Normal angio</w:t>
            </w:r>
          </w:p>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 xml:space="preserve">     (n=10)</w:t>
            </w:r>
          </w:p>
        </w:tc>
        <w:tc>
          <w:tcPr>
            <w:tcW w:w="1532" w:type="dxa"/>
            <w:vAlign w:val="center"/>
          </w:tcPr>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Single vessel</w:t>
            </w:r>
          </w:p>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(n=21)</w:t>
            </w:r>
          </w:p>
        </w:tc>
        <w:tc>
          <w:tcPr>
            <w:tcW w:w="1587" w:type="dxa"/>
            <w:vAlign w:val="center"/>
          </w:tcPr>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Two vessels</w:t>
            </w:r>
          </w:p>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(n=17)</w:t>
            </w:r>
          </w:p>
        </w:tc>
        <w:tc>
          <w:tcPr>
            <w:tcW w:w="1141" w:type="dxa"/>
            <w:vAlign w:val="center"/>
          </w:tcPr>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p- value</w:t>
            </w:r>
          </w:p>
        </w:tc>
      </w:tr>
      <w:tr w:rsidR="00FB433B" w:rsidRPr="00FC27BD" w:rsidTr="00FB433B">
        <w:tc>
          <w:tcPr>
            <w:tcW w:w="1560" w:type="dxa"/>
          </w:tcPr>
          <w:p w:rsidR="004E689C"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SEX</w:t>
            </w:r>
            <w:r w:rsidR="004E689C" w:rsidRPr="00FC27BD">
              <w:rPr>
                <w:rFonts w:ascii="Arial" w:hAnsi="Arial" w:cs="Arial"/>
                <w:b/>
                <w:bCs/>
                <w:i/>
                <w:iCs/>
                <w:sz w:val="20"/>
                <w:szCs w:val="20"/>
              </w:rPr>
              <w:t xml:space="preserve"> </w:t>
            </w:r>
          </w:p>
          <w:p w:rsidR="00FB433B" w:rsidRPr="00FC27BD" w:rsidRDefault="004E689C" w:rsidP="0005665D">
            <w:pPr>
              <w:bidi w:val="0"/>
              <w:jc w:val="center"/>
              <w:rPr>
                <w:rFonts w:ascii="Arial" w:hAnsi="Arial" w:cs="Arial"/>
                <w:b/>
                <w:bCs/>
                <w:i/>
                <w:iCs/>
                <w:sz w:val="20"/>
                <w:szCs w:val="20"/>
              </w:rPr>
            </w:pPr>
            <w:r w:rsidRPr="00FC27BD">
              <w:rPr>
                <w:rFonts w:ascii="Arial" w:hAnsi="Arial" w:cs="Arial"/>
                <w:b/>
                <w:bCs/>
                <w:i/>
                <w:iCs/>
                <w:sz w:val="20"/>
                <w:szCs w:val="20"/>
              </w:rPr>
              <w:t xml:space="preserve"> (F/M)</w:t>
            </w:r>
          </w:p>
        </w:tc>
        <w:tc>
          <w:tcPr>
            <w:tcW w:w="1559" w:type="dxa"/>
          </w:tcPr>
          <w:p w:rsidR="00FB433B" w:rsidRPr="00FC27BD" w:rsidRDefault="00C35BA0" w:rsidP="0005665D">
            <w:pPr>
              <w:bidi w:val="0"/>
              <w:jc w:val="center"/>
              <w:rPr>
                <w:rFonts w:ascii="Arial" w:hAnsi="Arial" w:cs="Arial"/>
                <w:i/>
                <w:iCs/>
                <w:sz w:val="20"/>
                <w:szCs w:val="20"/>
              </w:rPr>
            </w:pPr>
            <w:r w:rsidRPr="00FC27BD">
              <w:rPr>
                <w:rFonts w:ascii="Arial" w:hAnsi="Arial" w:cs="Arial"/>
                <w:i/>
                <w:iCs/>
                <w:sz w:val="20"/>
                <w:szCs w:val="20"/>
              </w:rPr>
              <w:t>18.2%</w:t>
            </w:r>
          </w:p>
          <w:p w:rsidR="00C35BA0" w:rsidRPr="00FC27BD" w:rsidRDefault="00C35BA0" w:rsidP="0005665D">
            <w:pPr>
              <w:bidi w:val="0"/>
              <w:jc w:val="center"/>
              <w:rPr>
                <w:rFonts w:ascii="Arial" w:hAnsi="Arial" w:cs="Arial"/>
                <w:i/>
                <w:iCs/>
                <w:sz w:val="20"/>
                <w:szCs w:val="20"/>
              </w:rPr>
            </w:pPr>
            <w:r w:rsidRPr="00FC27BD">
              <w:rPr>
                <w:rFonts w:ascii="Arial" w:hAnsi="Arial" w:cs="Arial"/>
                <w:i/>
                <w:iCs/>
                <w:sz w:val="20"/>
                <w:szCs w:val="20"/>
              </w:rPr>
              <w:t>81.8%</w:t>
            </w:r>
          </w:p>
        </w:tc>
        <w:tc>
          <w:tcPr>
            <w:tcW w:w="1701" w:type="dxa"/>
          </w:tcPr>
          <w:p w:rsidR="00FB433B" w:rsidRPr="00FC27BD" w:rsidRDefault="004039EA" w:rsidP="0005665D">
            <w:pPr>
              <w:bidi w:val="0"/>
              <w:jc w:val="center"/>
              <w:rPr>
                <w:rFonts w:ascii="Arial" w:hAnsi="Arial" w:cs="Arial"/>
                <w:i/>
                <w:iCs/>
                <w:sz w:val="20"/>
                <w:szCs w:val="20"/>
              </w:rPr>
            </w:pPr>
            <w:r w:rsidRPr="00FC27BD">
              <w:rPr>
                <w:rFonts w:ascii="Arial" w:hAnsi="Arial" w:cs="Arial"/>
                <w:i/>
                <w:iCs/>
                <w:sz w:val="20"/>
                <w:szCs w:val="20"/>
              </w:rPr>
              <w:t xml:space="preserve"> </w:t>
            </w:r>
            <w:r w:rsidR="004E689C" w:rsidRPr="00FC27BD">
              <w:rPr>
                <w:rFonts w:ascii="Arial" w:hAnsi="Arial" w:cs="Arial"/>
                <w:i/>
                <w:iCs/>
                <w:sz w:val="20"/>
                <w:szCs w:val="20"/>
              </w:rPr>
              <w:t>80%</w:t>
            </w:r>
          </w:p>
          <w:p w:rsidR="00C35BA0" w:rsidRPr="00FC27BD" w:rsidRDefault="00C35BA0" w:rsidP="0005665D">
            <w:pPr>
              <w:bidi w:val="0"/>
              <w:jc w:val="center"/>
              <w:rPr>
                <w:rFonts w:ascii="Arial" w:hAnsi="Arial" w:cs="Arial"/>
                <w:i/>
                <w:iCs/>
                <w:sz w:val="20"/>
                <w:szCs w:val="20"/>
              </w:rPr>
            </w:pPr>
            <w:r w:rsidRPr="00FC27BD">
              <w:rPr>
                <w:rFonts w:ascii="Arial" w:hAnsi="Arial" w:cs="Arial"/>
                <w:i/>
                <w:iCs/>
                <w:sz w:val="20"/>
                <w:szCs w:val="20"/>
              </w:rPr>
              <w:t>20%</w:t>
            </w:r>
          </w:p>
        </w:tc>
        <w:tc>
          <w:tcPr>
            <w:tcW w:w="1532" w:type="dxa"/>
          </w:tcPr>
          <w:p w:rsidR="00FB433B" w:rsidRPr="00FC27BD" w:rsidRDefault="00C35BA0" w:rsidP="0005665D">
            <w:pPr>
              <w:bidi w:val="0"/>
              <w:jc w:val="center"/>
              <w:rPr>
                <w:rFonts w:ascii="Arial" w:hAnsi="Arial" w:cs="Arial"/>
                <w:i/>
                <w:iCs/>
                <w:sz w:val="20"/>
                <w:szCs w:val="20"/>
              </w:rPr>
            </w:pPr>
            <w:r w:rsidRPr="00FC27BD">
              <w:rPr>
                <w:rFonts w:ascii="Arial" w:hAnsi="Arial" w:cs="Arial"/>
                <w:i/>
                <w:iCs/>
                <w:sz w:val="20"/>
                <w:szCs w:val="20"/>
              </w:rPr>
              <w:t>28.6%</w:t>
            </w:r>
          </w:p>
          <w:p w:rsidR="00C35BA0" w:rsidRPr="00FC27BD" w:rsidRDefault="00C35BA0" w:rsidP="0005665D">
            <w:pPr>
              <w:bidi w:val="0"/>
              <w:jc w:val="center"/>
              <w:rPr>
                <w:rFonts w:ascii="Arial" w:hAnsi="Arial" w:cs="Arial"/>
                <w:i/>
                <w:iCs/>
                <w:sz w:val="20"/>
                <w:szCs w:val="20"/>
              </w:rPr>
            </w:pPr>
            <w:r w:rsidRPr="00FC27BD">
              <w:rPr>
                <w:rFonts w:ascii="Arial" w:hAnsi="Arial" w:cs="Arial"/>
                <w:i/>
                <w:iCs/>
                <w:sz w:val="20"/>
                <w:szCs w:val="20"/>
              </w:rPr>
              <w:t>71.4%</w:t>
            </w:r>
          </w:p>
        </w:tc>
        <w:tc>
          <w:tcPr>
            <w:tcW w:w="1587" w:type="dxa"/>
          </w:tcPr>
          <w:p w:rsidR="00FB433B" w:rsidRPr="00FC27BD" w:rsidRDefault="00C35BA0" w:rsidP="0005665D">
            <w:pPr>
              <w:bidi w:val="0"/>
              <w:jc w:val="center"/>
              <w:rPr>
                <w:rFonts w:ascii="Arial" w:hAnsi="Arial" w:cs="Arial"/>
                <w:i/>
                <w:iCs/>
                <w:sz w:val="20"/>
                <w:szCs w:val="20"/>
              </w:rPr>
            </w:pPr>
            <w:r w:rsidRPr="00FC27BD">
              <w:rPr>
                <w:rFonts w:ascii="Arial" w:hAnsi="Arial" w:cs="Arial"/>
                <w:i/>
                <w:iCs/>
                <w:sz w:val="20"/>
                <w:szCs w:val="20"/>
              </w:rPr>
              <w:t>29.4%</w:t>
            </w:r>
          </w:p>
          <w:p w:rsidR="00C35BA0" w:rsidRPr="00FC27BD" w:rsidRDefault="00C35BA0" w:rsidP="0005665D">
            <w:pPr>
              <w:bidi w:val="0"/>
              <w:jc w:val="center"/>
              <w:rPr>
                <w:rFonts w:ascii="Arial" w:hAnsi="Arial" w:cs="Arial"/>
                <w:i/>
                <w:iCs/>
                <w:sz w:val="20"/>
                <w:szCs w:val="20"/>
              </w:rPr>
            </w:pPr>
            <w:r w:rsidRPr="00FC27BD">
              <w:rPr>
                <w:rFonts w:ascii="Arial" w:hAnsi="Arial" w:cs="Arial"/>
                <w:i/>
                <w:iCs/>
                <w:sz w:val="20"/>
                <w:szCs w:val="20"/>
              </w:rPr>
              <w:t>70.6%</w:t>
            </w:r>
          </w:p>
        </w:tc>
        <w:tc>
          <w:tcPr>
            <w:tcW w:w="1141" w:type="dxa"/>
          </w:tcPr>
          <w:p w:rsidR="00FB433B"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0.006</w:t>
            </w:r>
          </w:p>
        </w:tc>
      </w:tr>
      <w:tr w:rsidR="00FB433B" w:rsidRPr="00FC27BD" w:rsidTr="00FB433B">
        <w:tc>
          <w:tcPr>
            <w:tcW w:w="1560" w:type="dxa"/>
          </w:tcPr>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DM</w:t>
            </w:r>
          </w:p>
          <w:p w:rsidR="004E689C" w:rsidRPr="00FC27BD" w:rsidRDefault="004E689C" w:rsidP="0005665D">
            <w:pPr>
              <w:bidi w:val="0"/>
              <w:jc w:val="center"/>
              <w:rPr>
                <w:rFonts w:ascii="Arial" w:hAnsi="Arial" w:cs="Arial"/>
                <w:b/>
                <w:bCs/>
                <w:i/>
                <w:iCs/>
                <w:sz w:val="20"/>
                <w:szCs w:val="20"/>
              </w:rPr>
            </w:pPr>
            <w:r w:rsidRPr="00FC27BD">
              <w:rPr>
                <w:rFonts w:ascii="Arial" w:hAnsi="Arial" w:cs="Arial"/>
                <w:b/>
                <w:bCs/>
                <w:i/>
                <w:iCs/>
                <w:sz w:val="20"/>
                <w:szCs w:val="20"/>
              </w:rPr>
              <w:t>(yes/no)</w:t>
            </w:r>
          </w:p>
        </w:tc>
        <w:tc>
          <w:tcPr>
            <w:tcW w:w="1559" w:type="dxa"/>
          </w:tcPr>
          <w:p w:rsidR="00FB433B" w:rsidRPr="00FC27BD" w:rsidRDefault="004039EA" w:rsidP="0005665D">
            <w:pPr>
              <w:bidi w:val="0"/>
              <w:jc w:val="center"/>
              <w:rPr>
                <w:rFonts w:ascii="Arial" w:hAnsi="Arial" w:cs="Arial"/>
                <w:i/>
                <w:iCs/>
                <w:sz w:val="20"/>
                <w:szCs w:val="20"/>
              </w:rPr>
            </w:pPr>
            <w:r w:rsidRPr="00FC27BD">
              <w:rPr>
                <w:rFonts w:ascii="Arial" w:hAnsi="Arial" w:cs="Arial"/>
                <w:i/>
                <w:iCs/>
                <w:sz w:val="20"/>
                <w:szCs w:val="20"/>
              </w:rPr>
              <w:t>72.7%</w:t>
            </w:r>
          </w:p>
          <w:p w:rsidR="004039EA" w:rsidRPr="00FC27BD" w:rsidRDefault="004039EA" w:rsidP="0005665D">
            <w:pPr>
              <w:bidi w:val="0"/>
              <w:jc w:val="center"/>
              <w:rPr>
                <w:rFonts w:ascii="Arial" w:hAnsi="Arial" w:cs="Arial"/>
                <w:i/>
                <w:iCs/>
                <w:sz w:val="20"/>
                <w:szCs w:val="20"/>
              </w:rPr>
            </w:pPr>
            <w:r w:rsidRPr="00FC27BD">
              <w:rPr>
                <w:rFonts w:ascii="Arial" w:hAnsi="Arial" w:cs="Arial"/>
                <w:i/>
                <w:iCs/>
                <w:sz w:val="20"/>
                <w:szCs w:val="20"/>
              </w:rPr>
              <w:t>27.3%</w:t>
            </w:r>
          </w:p>
        </w:tc>
        <w:tc>
          <w:tcPr>
            <w:tcW w:w="1701" w:type="dxa"/>
          </w:tcPr>
          <w:p w:rsidR="00FB433B" w:rsidRPr="00FC27BD" w:rsidRDefault="004039EA" w:rsidP="0005665D">
            <w:pPr>
              <w:bidi w:val="0"/>
              <w:jc w:val="center"/>
              <w:rPr>
                <w:rFonts w:ascii="Arial" w:hAnsi="Arial" w:cs="Arial"/>
                <w:i/>
                <w:iCs/>
                <w:sz w:val="20"/>
                <w:szCs w:val="20"/>
              </w:rPr>
            </w:pPr>
            <w:r w:rsidRPr="00FC27BD">
              <w:rPr>
                <w:rFonts w:ascii="Arial" w:hAnsi="Arial" w:cs="Arial"/>
                <w:i/>
                <w:iCs/>
                <w:sz w:val="20"/>
                <w:szCs w:val="20"/>
              </w:rPr>
              <w:t>40%</w:t>
            </w:r>
          </w:p>
          <w:p w:rsidR="004039EA" w:rsidRPr="00FC27BD" w:rsidRDefault="004039EA" w:rsidP="0005665D">
            <w:pPr>
              <w:bidi w:val="0"/>
              <w:jc w:val="center"/>
              <w:rPr>
                <w:rFonts w:ascii="Arial" w:hAnsi="Arial" w:cs="Arial"/>
                <w:i/>
                <w:iCs/>
                <w:sz w:val="20"/>
                <w:szCs w:val="20"/>
              </w:rPr>
            </w:pPr>
            <w:r w:rsidRPr="00FC27BD">
              <w:rPr>
                <w:rFonts w:ascii="Arial" w:hAnsi="Arial" w:cs="Arial"/>
                <w:i/>
                <w:iCs/>
                <w:sz w:val="20"/>
                <w:szCs w:val="20"/>
              </w:rPr>
              <w:t>60%</w:t>
            </w:r>
          </w:p>
        </w:tc>
        <w:tc>
          <w:tcPr>
            <w:tcW w:w="1532" w:type="dxa"/>
          </w:tcPr>
          <w:p w:rsidR="00FB433B" w:rsidRPr="00FC27BD" w:rsidRDefault="004039EA" w:rsidP="0005665D">
            <w:pPr>
              <w:bidi w:val="0"/>
              <w:jc w:val="center"/>
              <w:rPr>
                <w:rFonts w:ascii="Arial" w:hAnsi="Arial" w:cs="Arial"/>
                <w:i/>
                <w:iCs/>
                <w:sz w:val="20"/>
                <w:szCs w:val="20"/>
              </w:rPr>
            </w:pPr>
            <w:r w:rsidRPr="00FC27BD">
              <w:rPr>
                <w:rFonts w:ascii="Arial" w:hAnsi="Arial" w:cs="Arial"/>
                <w:i/>
                <w:iCs/>
                <w:sz w:val="20"/>
                <w:szCs w:val="20"/>
              </w:rPr>
              <w:t>23.8%</w:t>
            </w:r>
          </w:p>
          <w:p w:rsidR="004039EA" w:rsidRPr="00FC27BD" w:rsidRDefault="004039EA" w:rsidP="0005665D">
            <w:pPr>
              <w:bidi w:val="0"/>
              <w:jc w:val="center"/>
              <w:rPr>
                <w:rFonts w:ascii="Arial" w:hAnsi="Arial" w:cs="Arial"/>
                <w:i/>
                <w:iCs/>
                <w:sz w:val="20"/>
                <w:szCs w:val="20"/>
              </w:rPr>
            </w:pPr>
            <w:r w:rsidRPr="00FC27BD">
              <w:rPr>
                <w:rFonts w:ascii="Arial" w:hAnsi="Arial" w:cs="Arial"/>
                <w:i/>
                <w:iCs/>
                <w:sz w:val="20"/>
                <w:szCs w:val="20"/>
              </w:rPr>
              <w:t>76.2%</w:t>
            </w:r>
          </w:p>
        </w:tc>
        <w:tc>
          <w:tcPr>
            <w:tcW w:w="1587" w:type="dxa"/>
          </w:tcPr>
          <w:p w:rsidR="00FB433B" w:rsidRPr="00FC27BD" w:rsidRDefault="004039EA" w:rsidP="0005665D">
            <w:pPr>
              <w:bidi w:val="0"/>
              <w:jc w:val="center"/>
              <w:rPr>
                <w:rFonts w:ascii="Arial" w:hAnsi="Arial" w:cs="Arial"/>
                <w:i/>
                <w:iCs/>
                <w:sz w:val="20"/>
                <w:szCs w:val="20"/>
              </w:rPr>
            </w:pPr>
            <w:r w:rsidRPr="00FC27BD">
              <w:rPr>
                <w:rFonts w:ascii="Arial" w:hAnsi="Arial" w:cs="Arial"/>
                <w:i/>
                <w:iCs/>
                <w:sz w:val="20"/>
                <w:szCs w:val="20"/>
              </w:rPr>
              <w:t>29.4%</w:t>
            </w:r>
          </w:p>
          <w:p w:rsidR="004039EA" w:rsidRPr="00FC27BD" w:rsidRDefault="004039EA" w:rsidP="0005665D">
            <w:pPr>
              <w:bidi w:val="0"/>
              <w:jc w:val="center"/>
              <w:rPr>
                <w:rFonts w:ascii="Arial" w:hAnsi="Arial" w:cs="Arial"/>
                <w:i/>
                <w:iCs/>
                <w:sz w:val="20"/>
                <w:szCs w:val="20"/>
              </w:rPr>
            </w:pPr>
            <w:r w:rsidRPr="00FC27BD">
              <w:rPr>
                <w:rFonts w:ascii="Arial" w:hAnsi="Arial" w:cs="Arial"/>
                <w:i/>
                <w:iCs/>
                <w:sz w:val="20"/>
                <w:szCs w:val="20"/>
              </w:rPr>
              <w:t>70.6%</w:t>
            </w:r>
          </w:p>
        </w:tc>
        <w:tc>
          <w:tcPr>
            <w:tcW w:w="1141" w:type="dxa"/>
          </w:tcPr>
          <w:p w:rsidR="00FB433B"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0.006</w:t>
            </w:r>
          </w:p>
        </w:tc>
      </w:tr>
      <w:tr w:rsidR="00FB433B" w:rsidRPr="00FC27BD" w:rsidTr="00FB433B">
        <w:tc>
          <w:tcPr>
            <w:tcW w:w="1560" w:type="dxa"/>
          </w:tcPr>
          <w:p w:rsidR="00FB433B" w:rsidRPr="00FC27BD" w:rsidRDefault="00FB433B" w:rsidP="0005665D">
            <w:pPr>
              <w:bidi w:val="0"/>
              <w:jc w:val="center"/>
              <w:rPr>
                <w:rFonts w:ascii="Arial" w:hAnsi="Arial" w:cs="Arial"/>
                <w:b/>
                <w:bCs/>
                <w:i/>
                <w:iCs/>
                <w:sz w:val="20"/>
                <w:szCs w:val="20"/>
              </w:rPr>
            </w:pPr>
            <w:r w:rsidRPr="00FC27BD">
              <w:rPr>
                <w:rFonts w:ascii="Arial" w:hAnsi="Arial" w:cs="Arial"/>
                <w:b/>
                <w:bCs/>
                <w:i/>
                <w:iCs/>
                <w:sz w:val="20"/>
                <w:szCs w:val="20"/>
              </w:rPr>
              <w:t>HTN</w:t>
            </w:r>
            <w:r w:rsidR="004E689C" w:rsidRPr="00FC27BD">
              <w:rPr>
                <w:rFonts w:ascii="Arial" w:hAnsi="Arial" w:cs="Arial"/>
                <w:b/>
                <w:bCs/>
                <w:i/>
                <w:iCs/>
                <w:sz w:val="20"/>
                <w:szCs w:val="20"/>
              </w:rPr>
              <w:t xml:space="preserve"> (yes/no)</w:t>
            </w:r>
          </w:p>
        </w:tc>
        <w:tc>
          <w:tcPr>
            <w:tcW w:w="1559" w:type="dxa"/>
          </w:tcPr>
          <w:p w:rsidR="00FB433B"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77.3%</w:t>
            </w:r>
          </w:p>
          <w:p w:rsidR="004E689C"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22.7%</w:t>
            </w:r>
          </w:p>
        </w:tc>
        <w:tc>
          <w:tcPr>
            <w:tcW w:w="1701" w:type="dxa"/>
          </w:tcPr>
          <w:p w:rsidR="00FB433B"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80%</w:t>
            </w:r>
          </w:p>
          <w:p w:rsidR="004E689C"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20%</w:t>
            </w:r>
          </w:p>
        </w:tc>
        <w:tc>
          <w:tcPr>
            <w:tcW w:w="1532" w:type="dxa"/>
          </w:tcPr>
          <w:p w:rsidR="00FB433B"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57.1%</w:t>
            </w:r>
          </w:p>
          <w:p w:rsidR="004E689C"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42.9%</w:t>
            </w:r>
          </w:p>
        </w:tc>
        <w:tc>
          <w:tcPr>
            <w:tcW w:w="1587" w:type="dxa"/>
          </w:tcPr>
          <w:p w:rsidR="00FB433B"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47.1%</w:t>
            </w:r>
          </w:p>
          <w:p w:rsidR="004E689C"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52.9%</w:t>
            </w:r>
          </w:p>
        </w:tc>
        <w:tc>
          <w:tcPr>
            <w:tcW w:w="1141" w:type="dxa"/>
          </w:tcPr>
          <w:p w:rsidR="00FB433B" w:rsidRPr="00FC27BD" w:rsidRDefault="004E689C" w:rsidP="0005665D">
            <w:pPr>
              <w:bidi w:val="0"/>
              <w:jc w:val="center"/>
              <w:rPr>
                <w:rFonts w:ascii="Arial" w:hAnsi="Arial" w:cs="Arial"/>
                <w:i/>
                <w:iCs/>
                <w:sz w:val="20"/>
                <w:szCs w:val="20"/>
              </w:rPr>
            </w:pPr>
            <w:r w:rsidRPr="00FC27BD">
              <w:rPr>
                <w:rFonts w:ascii="Arial" w:hAnsi="Arial" w:cs="Arial"/>
                <w:i/>
                <w:iCs/>
                <w:sz w:val="20"/>
                <w:szCs w:val="20"/>
              </w:rPr>
              <w:t>0.148</w:t>
            </w:r>
          </w:p>
        </w:tc>
      </w:tr>
    </w:tbl>
    <w:p w:rsidR="00FB433B" w:rsidRDefault="00FB433B" w:rsidP="0005665D">
      <w:pPr>
        <w:bidi w:val="0"/>
        <w:spacing w:after="0" w:line="240" w:lineRule="auto"/>
        <w:jc w:val="center"/>
        <w:rPr>
          <w:rFonts w:ascii="Arial" w:hAnsi="Arial" w:cs="Arial"/>
          <w:i/>
          <w:iCs/>
          <w:sz w:val="20"/>
          <w:szCs w:val="20"/>
        </w:rPr>
      </w:pPr>
    </w:p>
    <w:p w:rsidR="00B5186C" w:rsidRDefault="00B5186C" w:rsidP="00B5186C">
      <w:pPr>
        <w:bidi w:val="0"/>
        <w:spacing w:after="0" w:line="240" w:lineRule="auto"/>
        <w:jc w:val="center"/>
        <w:rPr>
          <w:rFonts w:ascii="Arial" w:hAnsi="Arial" w:cs="Arial"/>
          <w:i/>
          <w:iCs/>
          <w:sz w:val="20"/>
          <w:szCs w:val="20"/>
        </w:rPr>
      </w:pPr>
    </w:p>
    <w:p w:rsidR="00B5186C" w:rsidRPr="00FC27BD" w:rsidRDefault="00B5186C" w:rsidP="00B5186C">
      <w:pPr>
        <w:bidi w:val="0"/>
        <w:spacing w:after="0" w:line="240" w:lineRule="auto"/>
        <w:jc w:val="center"/>
        <w:rPr>
          <w:rFonts w:ascii="Arial" w:hAnsi="Arial" w:cs="Arial"/>
          <w:i/>
          <w:iCs/>
          <w:sz w:val="20"/>
          <w:szCs w:val="20"/>
        </w:rPr>
      </w:pPr>
    </w:p>
    <w:p w:rsidR="00C7428F" w:rsidRPr="00FC27BD" w:rsidRDefault="003E0D74" w:rsidP="0005665D">
      <w:pPr>
        <w:bidi w:val="0"/>
        <w:spacing w:after="0" w:line="240" w:lineRule="auto"/>
        <w:jc w:val="center"/>
        <w:rPr>
          <w:rFonts w:ascii="Arial" w:hAnsi="Arial" w:cs="Arial"/>
          <w:b/>
          <w:bCs/>
          <w:i/>
          <w:iCs/>
          <w:sz w:val="20"/>
          <w:szCs w:val="20"/>
        </w:rPr>
      </w:pPr>
      <w:r w:rsidRPr="00FC27BD">
        <w:rPr>
          <w:rFonts w:ascii="Arial" w:hAnsi="Arial" w:cs="Arial"/>
          <w:b/>
          <w:bCs/>
          <w:i/>
          <w:iCs/>
          <w:sz w:val="20"/>
          <w:szCs w:val="20"/>
        </w:rPr>
        <w:t>Table (4): comparison between different groups according to different laboratory findings:</w:t>
      </w:r>
    </w:p>
    <w:tbl>
      <w:tblPr>
        <w:tblStyle w:val="TableGrid1"/>
        <w:tblW w:w="5493" w:type="pct"/>
        <w:tblInd w:w="-176" w:type="dxa"/>
        <w:tblLook w:val="04A0" w:firstRow="1" w:lastRow="0" w:firstColumn="1" w:lastColumn="0" w:noHBand="0" w:noVBand="1"/>
      </w:tblPr>
      <w:tblGrid>
        <w:gridCol w:w="1985"/>
        <w:gridCol w:w="1620"/>
        <w:gridCol w:w="1776"/>
        <w:gridCol w:w="1591"/>
        <w:gridCol w:w="1726"/>
        <w:gridCol w:w="1084"/>
      </w:tblGrid>
      <w:tr w:rsidR="00C7428F"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428F" w:rsidRPr="00FC27BD" w:rsidRDefault="00C7428F" w:rsidP="0005665D">
            <w:pPr>
              <w:bidi w:val="0"/>
              <w:jc w:val="center"/>
              <w:rPr>
                <w:rFonts w:ascii="Arial" w:hAnsi="Arial"/>
                <w:b/>
                <w:bCs/>
                <w:i/>
                <w:iCs/>
                <w:sz w:val="20"/>
                <w:szCs w:val="20"/>
              </w:rPr>
            </w:pPr>
          </w:p>
          <w:p w:rsidR="00C7428F" w:rsidRPr="00FC27BD" w:rsidRDefault="00C7428F" w:rsidP="0005665D">
            <w:pPr>
              <w:bidi w:val="0"/>
              <w:jc w:val="center"/>
              <w:rPr>
                <w:rFonts w:ascii="Arial" w:hAnsi="Arial"/>
                <w:b/>
                <w:bCs/>
                <w:i/>
                <w:iCs/>
                <w:sz w:val="20"/>
                <w:szCs w:val="20"/>
              </w:rPr>
            </w:pPr>
          </w:p>
        </w:tc>
        <w:tc>
          <w:tcPr>
            <w:tcW w:w="828" w:type="pct"/>
            <w:tcBorders>
              <w:top w:val="single" w:sz="4" w:space="0" w:color="000000"/>
              <w:left w:val="single" w:sz="4" w:space="0" w:color="000000"/>
              <w:bottom w:val="single" w:sz="4" w:space="0" w:color="000000"/>
              <w:right w:val="single" w:sz="4" w:space="0" w:color="000000"/>
            </w:tcBorders>
            <w:noWrap/>
            <w:vAlign w:val="center"/>
          </w:tcPr>
          <w:p w:rsidR="00C7428F" w:rsidRPr="00FC27BD" w:rsidRDefault="00C7428F" w:rsidP="0005665D">
            <w:pPr>
              <w:bidi w:val="0"/>
              <w:jc w:val="center"/>
              <w:rPr>
                <w:rFonts w:ascii="Arial" w:hAnsi="Arial"/>
                <w:b/>
                <w:bCs/>
                <w:i/>
                <w:iCs/>
                <w:sz w:val="20"/>
                <w:szCs w:val="20"/>
              </w:rPr>
            </w:pPr>
            <w:r w:rsidRPr="00FC27BD">
              <w:rPr>
                <w:rFonts w:ascii="Arial" w:hAnsi="Arial"/>
                <w:b/>
                <w:bCs/>
                <w:i/>
                <w:iCs/>
                <w:sz w:val="20"/>
                <w:szCs w:val="20"/>
              </w:rPr>
              <w:t>MVD group</w:t>
            </w:r>
          </w:p>
          <w:p w:rsidR="00C7428F" w:rsidRPr="00FC27BD" w:rsidRDefault="00C7428F" w:rsidP="0005665D">
            <w:pPr>
              <w:bidi w:val="0"/>
              <w:jc w:val="center"/>
              <w:rPr>
                <w:rFonts w:ascii="Arial" w:hAnsi="Arial"/>
                <w:b/>
                <w:bCs/>
                <w:i/>
                <w:iCs/>
                <w:sz w:val="20"/>
                <w:szCs w:val="20"/>
              </w:rPr>
            </w:pPr>
            <w:r w:rsidRPr="00FC27BD">
              <w:rPr>
                <w:rFonts w:ascii="Arial" w:hAnsi="Arial"/>
                <w:b/>
                <w:bCs/>
                <w:i/>
                <w:iCs/>
                <w:sz w:val="20"/>
                <w:szCs w:val="20"/>
              </w:rPr>
              <w:t>(n=</w:t>
            </w:r>
            <w:r w:rsidR="00191785" w:rsidRPr="00FC27BD">
              <w:rPr>
                <w:rFonts w:ascii="Arial" w:hAnsi="Arial"/>
                <w:b/>
                <w:bCs/>
                <w:i/>
                <w:iCs/>
                <w:sz w:val="20"/>
                <w:szCs w:val="20"/>
              </w:rPr>
              <w:t>22</w:t>
            </w:r>
            <w:r w:rsidRPr="00FC27BD">
              <w:rPr>
                <w:rFonts w:ascii="Arial" w:hAnsi="Arial"/>
                <w:b/>
                <w:bCs/>
                <w:i/>
                <w:iCs/>
                <w:sz w:val="20"/>
                <w:szCs w:val="20"/>
              </w:rPr>
              <w:t>)</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C7428F" w:rsidRPr="00FC27BD" w:rsidRDefault="00C7428F" w:rsidP="0005665D">
            <w:pPr>
              <w:bidi w:val="0"/>
              <w:jc w:val="center"/>
              <w:rPr>
                <w:rFonts w:ascii="Arial" w:hAnsi="Arial"/>
                <w:b/>
                <w:bCs/>
                <w:i/>
                <w:iCs/>
                <w:sz w:val="20"/>
                <w:szCs w:val="20"/>
              </w:rPr>
            </w:pPr>
            <w:r w:rsidRPr="00FC27BD">
              <w:rPr>
                <w:rFonts w:ascii="Arial" w:hAnsi="Arial"/>
                <w:b/>
                <w:bCs/>
                <w:i/>
                <w:iCs/>
                <w:sz w:val="20"/>
                <w:szCs w:val="20"/>
              </w:rPr>
              <w:t>Normal angio</w:t>
            </w:r>
          </w:p>
          <w:p w:rsidR="00C7428F" w:rsidRPr="00FC27BD" w:rsidRDefault="00C7428F" w:rsidP="0005665D">
            <w:pPr>
              <w:bidi w:val="0"/>
              <w:jc w:val="center"/>
              <w:rPr>
                <w:rFonts w:ascii="Arial" w:hAnsi="Arial"/>
                <w:b/>
                <w:bCs/>
                <w:i/>
                <w:iCs/>
                <w:sz w:val="20"/>
                <w:szCs w:val="20"/>
              </w:rPr>
            </w:pPr>
            <w:r w:rsidRPr="00FC27BD">
              <w:rPr>
                <w:rFonts w:ascii="Arial" w:hAnsi="Arial"/>
                <w:b/>
                <w:bCs/>
                <w:i/>
                <w:iCs/>
                <w:sz w:val="20"/>
                <w:szCs w:val="20"/>
              </w:rPr>
              <w:t xml:space="preserve">     (n=10)</w:t>
            </w:r>
          </w:p>
        </w:tc>
        <w:tc>
          <w:tcPr>
            <w:tcW w:w="813"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b/>
                <w:bCs/>
                <w:i/>
                <w:iCs/>
                <w:sz w:val="20"/>
                <w:szCs w:val="20"/>
              </w:rPr>
            </w:pPr>
            <w:r w:rsidRPr="00FC27BD">
              <w:rPr>
                <w:rFonts w:ascii="Arial" w:hAnsi="Arial"/>
                <w:b/>
                <w:bCs/>
                <w:i/>
                <w:iCs/>
                <w:sz w:val="20"/>
                <w:szCs w:val="20"/>
              </w:rPr>
              <w:t>Single vessel</w:t>
            </w:r>
          </w:p>
          <w:p w:rsidR="00C7428F" w:rsidRPr="00FC27BD" w:rsidRDefault="00C7428F" w:rsidP="0005665D">
            <w:pPr>
              <w:bidi w:val="0"/>
              <w:jc w:val="center"/>
              <w:rPr>
                <w:rFonts w:ascii="Arial" w:hAnsi="Arial"/>
                <w:b/>
                <w:bCs/>
                <w:i/>
                <w:iCs/>
                <w:sz w:val="20"/>
                <w:szCs w:val="20"/>
              </w:rPr>
            </w:pPr>
            <w:r w:rsidRPr="00FC27BD">
              <w:rPr>
                <w:rFonts w:ascii="Arial" w:hAnsi="Arial"/>
                <w:b/>
                <w:bCs/>
                <w:i/>
                <w:iCs/>
                <w:sz w:val="20"/>
                <w:szCs w:val="20"/>
              </w:rPr>
              <w:t>(n=</w:t>
            </w:r>
            <w:r w:rsidR="00191785" w:rsidRPr="00FC27BD">
              <w:rPr>
                <w:rFonts w:ascii="Arial" w:hAnsi="Arial"/>
                <w:b/>
                <w:bCs/>
                <w:i/>
                <w:iCs/>
                <w:sz w:val="20"/>
                <w:szCs w:val="20"/>
              </w:rPr>
              <w:t>21</w:t>
            </w:r>
            <w:r w:rsidRPr="00FC27BD">
              <w:rPr>
                <w:rFonts w:ascii="Arial" w:hAnsi="Arial"/>
                <w:b/>
                <w:bCs/>
                <w:i/>
                <w:iCs/>
                <w:sz w:val="20"/>
                <w:szCs w:val="20"/>
              </w:rPr>
              <w:t>)</w:t>
            </w:r>
          </w:p>
        </w:tc>
        <w:tc>
          <w:tcPr>
            <w:tcW w:w="882"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b/>
                <w:bCs/>
                <w:i/>
                <w:iCs/>
                <w:sz w:val="20"/>
                <w:szCs w:val="20"/>
              </w:rPr>
            </w:pPr>
            <w:r w:rsidRPr="00FC27BD">
              <w:rPr>
                <w:rFonts w:ascii="Arial" w:hAnsi="Arial"/>
                <w:b/>
                <w:bCs/>
                <w:i/>
                <w:iCs/>
                <w:sz w:val="20"/>
                <w:szCs w:val="20"/>
              </w:rPr>
              <w:t>Two vessels</w:t>
            </w:r>
          </w:p>
          <w:p w:rsidR="00C7428F" w:rsidRPr="00FC27BD" w:rsidRDefault="00C7428F" w:rsidP="0005665D">
            <w:pPr>
              <w:bidi w:val="0"/>
              <w:jc w:val="center"/>
              <w:rPr>
                <w:rFonts w:ascii="Arial" w:hAnsi="Arial"/>
                <w:b/>
                <w:bCs/>
                <w:i/>
                <w:iCs/>
                <w:sz w:val="20"/>
                <w:szCs w:val="20"/>
              </w:rPr>
            </w:pPr>
            <w:r w:rsidRPr="00FC27BD">
              <w:rPr>
                <w:rFonts w:ascii="Arial" w:hAnsi="Arial"/>
                <w:b/>
                <w:bCs/>
                <w:i/>
                <w:iCs/>
                <w:sz w:val="20"/>
                <w:szCs w:val="20"/>
              </w:rPr>
              <w:t>(n=</w:t>
            </w:r>
            <w:r w:rsidR="00191785" w:rsidRPr="00FC27BD">
              <w:rPr>
                <w:rFonts w:ascii="Arial" w:hAnsi="Arial"/>
                <w:b/>
                <w:bCs/>
                <w:i/>
                <w:iCs/>
                <w:sz w:val="20"/>
                <w:szCs w:val="20"/>
              </w:rPr>
              <w:t>17</w:t>
            </w:r>
            <w:r w:rsidRPr="00FC27BD">
              <w:rPr>
                <w:rFonts w:ascii="Arial" w:hAnsi="Arial"/>
                <w:b/>
                <w:bCs/>
                <w:i/>
                <w:iCs/>
                <w:sz w:val="20"/>
                <w:szCs w:val="20"/>
              </w:rPr>
              <w:t>)</w:t>
            </w:r>
          </w:p>
        </w:tc>
        <w:tc>
          <w:tcPr>
            <w:tcW w:w="554"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191785" w:rsidP="0005665D">
            <w:pPr>
              <w:bidi w:val="0"/>
              <w:jc w:val="center"/>
              <w:rPr>
                <w:rFonts w:ascii="Arial" w:hAnsi="Arial"/>
                <w:b/>
                <w:bCs/>
                <w:i/>
                <w:iCs/>
                <w:sz w:val="20"/>
                <w:szCs w:val="20"/>
              </w:rPr>
            </w:pPr>
            <w:r w:rsidRPr="00FC27BD">
              <w:rPr>
                <w:rFonts w:ascii="Arial" w:eastAsiaTheme="minorHAnsi" w:hAnsi="Arial"/>
                <w:b/>
                <w:bCs/>
                <w:i/>
                <w:iCs/>
                <w:sz w:val="20"/>
                <w:szCs w:val="20"/>
              </w:rPr>
              <w:t>p- value</w:t>
            </w:r>
          </w:p>
        </w:tc>
      </w:tr>
      <w:tr w:rsidR="00191785"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191785" w:rsidRPr="00FC27BD" w:rsidRDefault="00191785" w:rsidP="0005665D">
            <w:pPr>
              <w:bidi w:val="0"/>
              <w:jc w:val="center"/>
              <w:rPr>
                <w:rFonts w:ascii="Arial" w:eastAsiaTheme="minorHAnsi" w:hAnsi="Arial"/>
                <w:b/>
                <w:bCs/>
                <w:i/>
                <w:iCs/>
                <w:sz w:val="20"/>
                <w:szCs w:val="20"/>
              </w:rPr>
            </w:pPr>
            <w:r w:rsidRPr="00FC27BD">
              <w:rPr>
                <w:rFonts w:ascii="Arial" w:eastAsiaTheme="minorHAnsi" w:hAnsi="Arial"/>
                <w:b/>
                <w:bCs/>
                <w:i/>
                <w:iCs/>
                <w:sz w:val="20"/>
                <w:szCs w:val="20"/>
              </w:rPr>
              <w:t>Age  (yrs)</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55.2 ± 5.7</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53.3 ± 5.9</w:t>
            </w:r>
          </w:p>
        </w:tc>
        <w:tc>
          <w:tcPr>
            <w:tcW w:w="813"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53.6  ± 8.8</w:t>
            </w:r>
          </w:p>
        </w:tc>
        <w:tc>
          <w:tcPr>
            <w:tcW w:w="882"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50.1 ± 6.5</w:t>
            </w:r>
          </w:p>
        </w:tc>
        <w:tc>
          <w:tcPr>
            <w:tcW w:w="554"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0.17</w:t>
            </w:r>
          </w:p>
        </w:tc>
      </w:tr>
      <w:tr w:rsidR="00191785"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191785" w:rsidRPr="00FC27BD" w:rsidRDefault="00191785" w:rsidP="0005665D">
            <w:pPr>
              <w:bidi w:val="0"/>
              <w:jc w:val="center"/>
              <w:rPr>
                <w:rFonts w:ascii="Arial" w:eastAsiaTheme="minorHAnsi" w:hAnsi="Arial"/>
                <w:b/>
                <w:bCs/>
                <w:i/>
                <w:iCs/>
                <w:sz w:val="20"/>
                <w:szCs w:val="20"/>
              </w:rPr>
            </w:pPr>
            <w:r w:rsidRPr="00FC27BD">
              <w:rPr>
                <w:rFonts w:ascii="Arial" w:eastAsiaTheme="minorHAnsi" w:hAnsi="Arial"/>
                <w:b/>
                <w:bCs/>
                <w:i/>
                <w:iCs/>
                <w:sz w:val="20"/>
                <w:szCs w:val="20"/>
              </w:rPr>
              <w:t>BMI   Kg/</w:t>
            </w:r>
            <w:r w:rsidRPr="00FC27BD">
              <w:rPr>
                <w:rFonts w:ascii="Arial" w:hAnsi="Arial"/>
                <w:b/>
                <w:bCs/>
                <w:i/>
                <w:iCs/>
                <w:sz w:val="20"/>
                <w:szCs w:val="20"/>
              </w:rPr>
              <w:t xml:space="preserve"> m2</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28.7  ± 1.5</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27.6 ± 1.52</w:t>
            </w:r>
          </w:p>
        </w:tc>
        <w:tc>
          <w:tcPr>
            <w:tcW w:w="813"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26.6 ±1.3</w:t>
            </w:r>
          </w:p>
        </w:tc>
        <w:tc>
          <w:tcPr>
            <w:tcW w:w="882"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27.5 ± 1.3</w:t>
            </w:r>
          </w:p>
        </w:tc>
        <w:tc>
          <w:tcPr>
            <w:tcW w:w="554"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0.001*</w:t>
            </w:r>
          </w:p>
        </w:tc>
      </w:tr>
      <w:tr w:rsidR="007B7463"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7463" w:rsidRPr="00FC27BD" w:rsidRDefault="007B7463" w:rsidP="0005665D">
            <w:pPr>
              <w:bidi w:val="0"/>
              <w:jc w:val="center"/>
              <w:rPr>
                <w:rFonts w:ascii="Arial" w:hAnsi="Arial"/>
                <w:b/>
                <w:bCs/>
                <w:i/>
                <w:iCs/>
                <w:sz w:val="20"/>
                <w:szCs w:val="20"/>
              </w:rPr>
            </w:pPr>
            <w:r w:rsidRPr="00FC27BD">
              <w:rPr>
                <w:rFonts w:ascii="Arial" w:hAnsi="Arial"/>
                <w:b/>
                <w:bCs/>
                <w:i/>
                <w:iCs/>
                <w:sz w:val="20"/>
                <w:szCs w:val="20"/>
              </w:rPr>
              <w:t>Systolic  bl. press</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7B7463" w:rsidRPr="00FC27BD" w:rsidRDefault="007B7463" w:rsidP="0005665D">
            <w:pPr>
              <w:bidi w:val="0"/>
              <w:jc w:val="center"/>
              <w:rPr>
                <w:rFonts w:ascii="Arial" w:hAnsi="Arial"/>
                <w:i/>
                <w:iCs/>
                <w:sz w:val="20"/>
                <w:szCs w:val="20"/>
              </w:rPr>
            </w:pPr>
            <w:r w:rsidRPr="00FC27BD">
              <w:rPr>
                <w:rFonts w:ascii="Arial" w:hAnsi="Arial"/>
                <w:i/>
                <w:iCs/>
                <w:sz w:val="20"/>
                <w:szCs w:val="20"/>
              </w:rPr>
              <w:t>150.2 ± 10.4</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7B7463" w:rsidRPr="00FC27BD" w:rsidRDefault="007B7463" w:rsidP="0005665D">
            <w:pPr>
              <w:bidi w:val="0"/>
              <w:jc w:val="center"/>
              <w:rPr>
                <w:rFonts w:ascii="Arial" w:hAnsi="Arial"/>
                <w:i/>
                <w:iCs/>
                <w:sz w:val="20"/>
                <w:szCs w:val="20"/>
              </w:rPr>
            </w:pPr>
            <w:r w:rsidRPr="00FC27BD">
              <w:rPr>
                <w:rFonts w:ascii="Arial" w:hAnsi="Arial"/>
                <w:i/>
                <w:iCs/>
                <w:sz w:val="20"/>
                <w:szCs w:val="20"/>
              </w:rPr>
              <w:t>140 ±19.4</w:t>
            </w:r>
          </w:p>
        </w:tc>
        <w:tc>
          <w:tcPr>
            <w:tcW w:w="813" w:type="pct"/>
            <w:tcBorders>
              <w:top w:val="single" w:sz="4" w:space="0" w:color="000000"/>
              <w:left w:val="single" w:sz="4" w:space="0" w:color="000000"/>
              <w:bottom w:val="single" w:sz="4" w:space="0" w:color="000000"/>
              <w:right w:val="single" w:sz="4" w:space="0" w:color="000000"/>
            </w:tcBorders>
            <w:vAlign w:val="center"/>
          </w:tcPr>
          <w:p w:rsidR="007B7463" w:rsidRPr="00FC27BD" w:rsidRDefault="007B7463" w:rsidP="0005665D">
            <w:pPr>
              <w:bidi w:val="0"/>
              <w:jc w:val="center"/>
              <w:rPr>
                <w:rFonts w:ascii="Arial" w:hAnsi="Arial"/>
                <w:i/>
                <w:iCs/>
                <w:sz w:val="20"/>
                <w:szCs w:val="20"/>
              </w:rPr>
            </w:pPr>
            <w:r w:rsidRPr="00FC27BD">
              <w:rPr>
                <w:rFonts w:ascii="Arial" w:hAnsi="Arial"/>
                <w:i/>
                <w:iCs/>
                <w:sz w:val="20"/>
                <w:szCs w:val="20"/>
              </w:rPr>
              <w:t>134.5 ± 12.6</w:t>
            </w:r>
          </w:p>
        </w:tc>
        <w:tc>
          <w:tcPr>
            <w:tcW w:w="882" w:type="pct"/>
            <w:tcBorders>
              <w:top w:val="single" w:sz="4" w:space="0" w:color="000000"/>
              <w:left w:val="single" w:sz="4" w:space="0" w:color="000000"/>
              <w:bottom w:val="single" w:sz="4" w:space="0" w:color="000000"/>
              <w:right w:val="single" w:sz="4" w:space="0" w:color="000000"/>
            </w:tcBorders>
            <w:vAlign w:val="center"/>
          </w:tcPr>
          <w:p w:rsidR="007B7463" w:rsidRPr="00FC27BD" w:rsidRDefault="007B7463" w:rsidP="0005665D">
            <w:pPr>
              <w:bidi w:val="0"/>
              <w:jc w:val="center"/>
              <w:rPr>
                <w:rFonts w:ascii="Arial" w:hAnsi="Arial"/>
                <w:i/>
                <w:iCs/>
                <w:sz w:val="20"/>
                <w:szCs w:val="20"/>
              </w:rPr>
            </w:pPr>
            <w:r w:rsidRPr="00FC27BD">
              <w:rPr>
                <w:rFonts w:ascii="Arial" w:hAnsi="Arial"/>
                <w:i/>
                <w:iCs/>
                <w:sz w:val="20"/>
                <w:szCs w:val="20"/>
              </w:rPr>
              <w:t>141.2 ± 13.4</w:t>
            </w:r>
          </w:p>
        </w:tc>
        <w:tc>
          <w:tcPr>
            <w:tcW w:w="554" w:type="pct"/>
            <w:tcBorders>
              <w:top w:val="single" w:sz="4" w:space="0" w:color="000000"/>
              <w:left w:val="single" w:sz="4" w:space="0" w:color="000000"/>
              <w:bottom w:val="single" w:sz="4" w:space="0" w:color="000000"/>
              <w:right w:val="single" w:sz="4" w:space="0" w:color="000000"/>
            </w:tcBorders>
            <w:vAlign w:val="center"/>
          </w:tcPr>
          <w:p w:rsidR="007B7463" w:rsidRPr="00FC27BD" w:rsidRDefault="007B7463" w:rsidP="0005665D">
            <w:pPr>
              <w:bidi w:val="0"/>
              <w:jc w:val="center"/>
              <w:rPr>
                <w:rFonts w:ascii="Arial" w:hAnsi="Arial"/>
                <w:i/>
                <w:iCs/>
                <w:sz w:val="20"/>
                <w:szCs w:val="20"/>
              </w:rPr>
            </w:pPr>
            <w:r w:rsidRPr="00FC27BD">
              <w:rPr>
                <w:rFonts w:ascii="Arial" w:hAnsi="Arial"/>
                <w:i/>
                <w:iCs/>
                <w:sz w:val="20"/>
                <w:szCs w:val="20"/>
              </w:rPr>
              <w:t>0.005*</w:t>
            </w:r>
          </w:p>
        </w:tc>
      </w:tr>
      <w:tr w:rsidR="007B7463"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7463" w:rsidRPr="00FC27BD" w:rsidRDefault="007B7463" w:rsidP="0005665D">
            <w:pPr>
              <w:bidi w:val="0"/>
              <w:jc w:val="center"/>
              <w:rPr>
                <w:rFonts w:ascii="Arial" w:hAnsi="Arial"/>
                <w:b/>
                <w:bCs/>
                <w:i/>
                <w:iCs/>
                <w:sz w:val="20"/>
                <w:szCs w:val="20"/>
              </w:rPr>
            </w:pPr>
            <w:r w:rsidRPr="00FC27BD">
              <w:rPr>
                <w:rFonts w:ascii="Arial" w:hAnsi="Arial"/>
                <w:b/>
                <w:bCs/>
                <w:i/>
                <w:iCs/>
                <w:sz w:val="20"/>
                <w:szCs w:val="20"/>
              </w:rPr>
              <w:t>Diastolic bl.press</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7B7463" w:rsidRPr="00FC27BD" w:rsidRDefault="007B7463" w:rsidP="0005665D">
            <w:pPr>
              <w:bidi w:val="0"/>
              <w:jc w:val="center"/>
              <w:rPr>
                <w:rFonts w:ascii="Arial" w:hAnsi="Arial"/>
                <w:i/>
                <w:iCs/>
                <w:sz w:val="20"/>
                <w:szCs w:val="20"/>
              </w:rPr>
            </w:pPr>
            <w:r w:rsidRPr="00FC27BD">
              <w:rPr>
                <w:rFonts w:ascii="Arial" w:hAnsi="Arial"/>
                <w:i/>
                <w:iCs/>
                <w:sz w:val="20"/>
                <w:szCs w:val="20"/>
              </w:rPr>
              <w:t>102.1 ± 20.45</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7B7463" w:rsidRPr="00FC27BD" w:rsidRDefault="007B7463" w:rsidP="0005665D">
            <w:pPr>
              <w:bidi w:val="0"/>
              <w:jc w:val="center"/>
              <w:rPr>
                <w:rFonts w:ascii="Arial" w:hAnsi="Arial"/>
                <w:i/>
                <w:iCs/>
                <w:sz w:val="20"/>
                <w:szCs w:val="20"/>
              </w:rPr>
            </w:pPr>
            <w:r w:rsidRPr="00FC27BD">
              <w:rPr>
                <w:rFonts w:ascii="Arial" w:hAnsi="Arial"/>
                <w:i/>
                <w:iCs/>
                <w:sz w:val="20"/>
                <w:szCs w:val="20"/>
              </w:rPr>
              <w:t>91 ±12.2</w:t>
            </w:r>
          </w:p>
        </w:tc>
        <w:tc>
          <w:tcPr>
            <w:tcW w:w="813" w:type="pct"/>
            <w:tcBorders>
              <w:top w:val="single" w:sz="4" w:space="0" w:color="000000"/>
              <w:left w:val="single" w:sz="4" w:space="0" w:color="000000"/>
              <w:bottom w:val="single" w:sz="4" w:space="0" w:color="000000"/>
              <w:right w:val="single" w:sz="4" w:space="0" w:color="000000"/>
            </w:tcBorders>
            <w:vAlign w:val="center"/>
          </w:tcPr>
          <w:p w:rsidR="007B7463" w:rsidRPr="00FC27BD" w:rsidRDefault="007B7463" w:rsidP="0005665D">
            <w:pPr>
              <w:bidi w:val="0"/>
              <w:jc w:val="center"/>
              <w:rPr>
                <w:rFonts w:ascii="Arial" w:hAnsi="Arial"/>
                <w:i/>
                <w:iCs/>
                <w:sz w:val="20"/>
                <w:szCs w:val="20"/>
              </w:rPr>
            </w:pPr>
            <w:r w:rsidRPr="00FC27BD">
              <w:rPr>
                <w:rFonts w:ascii="Arial" w:hAnsi="Arial"/>
                <w:i/>
                <w:iCs/>
                <w:sz w:val="20"/>
                <w:szCs w:val="20"/>
              </w:rPr>
              <w:t>86.4 ± 8.5</w:t>
            </w:r>
          </w:p>
        </w:tc>
        <w:tc>
          <w:tcPr>
            <w:tcW w:w="882" w:type="pct"/>
            <w:tcBorders>
              <w:top w:val="single" w:sz="4" w:space="0" w:color="000000"/>
              <w:left w:val="single" w:sz="4" w:space="0" w:color="000000"/>
              <w:bottom w:val="single" w:sz="4" w:space="0" w:color="000000"/>
              <w:right w:val="single" w:sz="4" w:space="0" w:color="000000"/>
            </w:tcBorders>
            <w:vAlign w:val="center"/>
          </w:tcPr>
          <w:p w:rsidR="007B7463" w:rsidRPr="00FC27BD" w:rsidRDefault="007B7463" w:rsidP="0005665D">
            <w:pPr>
              <w:bidi w:val="0"/>
              <w:jc w:val="center"/>
              <w:rPr>
                <w:rFonts w:ascii="Arial" w:hAnsi="Arial"/>
                <w:i/>
                <w:iCs/>
                <w:sz w:val="20"/>
                <w:szCs w:val="20"/>
              </w:rPr>
            </w:pPr>
            <w:r w:rsidRPr="00FC27BD">
              <w:rPr>
                <w:rFonts w:ascii="Arial" w:hAnsi="Arial"/>
                <w:i/>
                <w:iCs/>
                <w:sz w:val="20"/>
                <w:szCs w:val="20"/>
              </w:rPr>
              <w:t>90.9  ± 10.5</w:t>
            </w:r>
          </w:p>
        </w:tc>
        <w:tc>
          <w:tcPr>
            <w:tcW w:w="554" w:type="pct"/>
            <w:tcBorders>
              <w:top w:val="single" w:sz="4" w:space="0" w:color="000000"/>
              <w:left w:val="single" w:sz="4" w:space="0" w:color="000000"/>
              <w:bottom w:val="single" w:sz="4" w:space="0" w:color="000000"/>
              <w:right w:val="single" w:sz="4" w:space="0" w:color="000000"/>
            </w:tcBorders>
            <w:vAlign w:val="center"/>
          </w:tcPr>
          <w:p w:rsidR="007B7463" w:rsidRPr="00FC27BD" w:rsidRDefault="007B7463" w:rsidP="0005665D">
            <w:pPr>
              <w:bidi w:val="0"/>
              <w:jc w:val="center"/>
              <w:rPr>
                <w:rFonts w:ascii="Arial" w:hAnsi="Arial"/>
                <w:i/>
                <w:iCs/>
                <w:sz w:val="20"/>
                <w:szCs w:val="20"/>
              </w:rPr>
            </w:pPr>
            <w:r w:rsidRPr="00FC27BD">
              <w:rPr>
                <w:rFonts w:ascii="Arial" w:hAnsi="Arial"/>
                <w:i/>
                <w:iCs/>
                <w:sz w:val="20"/>
                <w:szCs w:val="20"/>
              </w:rPr>
              <w:t>0.002*</w:t>
            </w:r>
          </w:p>
        </w:tc>
      </w:tr>
      <w:tr w:rsidR="00C7428F"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428F" w:rsidRPr="00FC27BD" w:rsidRDefault="00C7428F" w:rsidP="0005665D">
            <w:pPr>
              <w:bidi w:val="0"/>
              <w:jc w:val="center"/>
              <w:rPr>
                <w:rFonts w:ascii="Arial" w:eastAsiaTheme="minorHAnsi" w:hAnsi="Arial"/>
                <w:b/>
                <w:bCs/>
                <w:i/>
                <w:iCs/>
                <w:sz w:val="20"/>
                <w:szCs w:val="20"/>
              </w:rPr>
            </w:pPr>
            <w:r w:rsidRPr="00FC27BD">
              <w:rPr>
                <w:rFonts w:ascii="Arial" w:eastAsiaTheme="minorHAnsi" w:hAnsi="Arial"/>
                <w:b/>
                <w:bCs/>
                <w:i/>
                <w:iCs/>
                <w:sz w:val="20"/>
                <w:szCs w:val="20"/>
              </w:rPr>
              <w:t>DM duration</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6.7 ± 4.6</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6.7 ± 2.4</w:t>
            </w:r>
          </w:p>
        </w:tc>
        <w:tc>
          <w:tcPr>
            <w:tcW w:w="813"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7.6 ± 5.2</w:t>
            </w:r>
          </w:p>
        </w:tc>
        <w:tc>
          <w:tcPr>
            <w:tcW w:w="882"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3.3 ± 6.8</w:t>
            </w:r>
          </w:p>
        </w:tc>
        <w:tc>
          <w:tcPr>
            <w:tcW w:w="554"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0.018*</w:t>
            </w:r>
          </w:p>
        </w:tc>
      </w:tr>
      <w:tr w:rsidR="00C7428F"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428F" w:rsidRPr="00FC27BD" w:rsidRDefault="00C7428F" w:rsidP="0005665D">
            <w:pPr>
              <w:bidi w:val="0"/>
              <w:jc w:val="center"/>
              <w:rPr>
                <w:rFonts w:ascii="Arial" w:eastAsiaTheme="minorHAnsi" w:hAnsi="Arial"/>
                <w:b/>
                <w:bCs/>
                <w:i/>
                <w:iCs/>
                <w:sz w:val="20"/>
                <w:szCs w:val="20"/>
              </w:rPr>
            </w:pPr>
            <w:r w:rsidRPr="00FC27BD">
              <w:rPr>
                <w:rFonts w:ascii="Arial" w:eastAsiaTheme="minorHAnsi" w:hAnsi="Arial"/>
                <w:b/>
                <w:bCs/>
                <w:i/>
                <w:iCs/>
                <w:sz w:val="20"/>
                <w:szCs w:val="20"/>
              </w:rPr>
              <w:t>Htn duration</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6.4 ± 3.0</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8.1± 8.1</w:t>
            </w:r>
          </w:p>
        </w:tc>
        <w:tc>
          <w:tcPr>
            <w:tcW w:w="813"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5.1  ± 5.7</w:t>
            </w:r>
          </w:p>
        </w:tc>
        <w:tc>
          <w:tcPr>
            <w:tcW w:w="882"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4.3 ± 3.1</w:t>
            </w:r>
          </w:p>
        </w:tc>
        <w:tc>
          <w:tcPr>
            <w:tcW w:w="554"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0.27</w:t>
            </w:r>
          </w:p>
        </w:tc>
      </w:tr>
      <w:tr w:rsidR="00C7428F"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428F" w:rsidRPr="00FC27BD" w:rsidRDefault="007B7463" w:rsidP="0005665D">
            <w:pPr>
              <w:bidi w:val="0"/>
              <w:jc w:val="center"/>
              <w:rPr>
                <w:rFonts w:ascii="Arial" w:hAnsi="Arial"/>
                <w:b/>
                <w:bCs/>
                <w:i/>
                <w:iCs/>
                <w:sz w:val="20"/>
                <w:szCs w:val="20"/>
              </w:rPr>
            </w:pPr>
            <w:r w:rsidRPr="00FC27BD">
              <w:rPr>
                <w:rFonts w:ascii="Arial" w:hAnsi="Arial"/>
                <w:b/>
                <w:bCs/>
                <w:i/>
                <w:iCs/>
                <w:sz w:val="20"/>
                <w:szCs w:val="20"/>
              </w:rPr>
              <w:t xml:space="preserve">FBG      mg/dl       </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155.3  ±  84.4</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144.4 ± 66.5</w:t>
            </w:r>
          </w:p>
        </w:tc>
        <w:tc>
          <w:tcPr>
            <w:tcW w:w="813"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104.1 ± 29.2</w:t>
            </w:r>
          </w:p>
        </w:tc>
        <w:tc>
          <w:tcPr>
            <w:tcW w:w="882"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133.3 ± 79.4</w:t>
            </w:r>
          </w:p>
        </w:tc>
        <w:tc>
          <w:tcPr>
            <w:tcW w:w="554"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0.07</w:t>
            </w:r>
          </w:p>
        </w:tc>
      </w:tr>
      <w:tr w:rsidR="00191785"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1785" w:rsidRPr="00FC27BD" w:rsidRDefault="00191785" w:rsidP="0005665D">
            <w:pPr>
              <w:bidi w:val="0"/>
              <w:jc w:val="center"/>
              <w:rPr>
                <w:rFonts w:ascii="Arial" w:hAnsi="Arial"/>
                <w:b/>
                <w:bCs/>
                <w:i/>
                <w:iCs/>
                <w:sz w:val="20"/>
                <w:szCs w:val="20"/>
              </w:rPr>
            </w:pPr>
            <w:r w:rsidRPr="00FC27BD">
              <w:rPr>
                <w:rFonts w:ascii="Arial" w:hAnsi="Arial"/>
                <w:b/>
                <w:bCs/>
                <w:i/>
                <w:iCs/>
                <w:sz w:val="20"/>
                <w:szCs w:val="20"/>
              </w:rPr>
              <w:t>Cholesterol mg/dl</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179.4 ± 41.8</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180.0 ± 61.2</w:t>
            </w:r>
          </w:p>
        </w:tc>
        <w:tc>
          <w:tcPr>
            <w:tcW w:w="813"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189.2 ± 43.8</w:t>
            </w:r>
          </w:p>
        </w:tc>
        <w:tc>
          <w:tcPr>
            <w:tcW w:w="882"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202.1 ± 37.1</w:t>
            </w:r>
          </w:p>
        </w:tc>
        <w:tc>
          <w:tcPr>
            <w:tcW w:w="554"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0.38</w:t>
            </w:r>
          </w:p>
        </w:tc>
      </w:tr>
      <w:tr w:rsidR="00191785"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1785" w:rsidRPr="00FC27BD" w:rsidRDefault="00191785" w:rsidP="0005665D">
            <w:pPr>
              <w:bidi w:val="0"/>
              <w:jc w:val="center"/>
              <w:rPr>
                <w:rFonts w:ascii="Arial" w:hAnsi="Arial"/>
                <w:b/>
                <w:bCs/>
                <w:i/>
                <w:iCs/>
                <w:sz w:val="20"/>
                <w:szCs w:val="20"/>
              </w:rPr>
            </w:pPr>
            <w:r w:rsidRPr="00FC27BD">
              <w:rPr>
                <w:rFonts w:ascii="Arial" w:hAnsi="Arial"/>
                <w:b/>
                <w:bCs/>
                <w:i/>
                <w:iCs/>
                <w:sz w:val="20"/>
                <w:szCs w:val="20"/>
              </w:rPr>
              <w:t>TG            mg/dl</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124.6 ± 34.3</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107.4  ± 56.9</w:t>
            </w:r>
          </w:p>
        </w:tc>
        <w:tc>
          <w:tcPr>
            <w:tcW w:w="813"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148.1 ±73.3</w:t>
            </w:r>
          </w:p>
        </w:tc>
        <w:tc>
          <w:tcPr>
            <w:tcW w:w="882"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142.1 ± 46.2</w:t>
            </w:r>
          </w:p>
        </w:tc>
        <w:tc>
          <w:tcPr>
            <w:tcW w:w="554"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0.11</w:t>
            </w:r>
          </w:p>
        </w:tc>
      </w:tr>
      <w:tr w:rsidR="00191785"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191785" w:rsidRPr="00FC27BD" w:rsidRDefault="00191785" w:rsidP="0005665D">
            <w:pPr>
              <w:bidi w:val="0"/>
              <w:jc w:val="center"/>
              <w:rPr>
                <w:rFonts w:ascii="Arial" w:hAnsi="Arial"/>
                <w:b/>
                <w:bCs/>
                <w:i/>
                <w:iCs/>
                <w:sz w:val="20"/>
                <w:szCs w:val="20"/>
              </w:rPr>
            </w:pPr>
            <w:r w:rsidRPr="00FC27BD">
              <w:rPr>
                <w:rFonts w:ascii="Arial" w:hAnsi="Arial"/>
                <w:b/>
                <w:bCs/>
                <w:i/>
                <w:iCs/>
                <w:sz w:val="20"/>
                <w:szCs w:val="20"/>
              </w:rPr>
              <w:t>HDL-c</w:t>
            </w:r>
            <w:r w:rsidRPr="00FC27BD">
              <w:rPr>
                <w:rFonts w:ascii="Arial" w:eastAsiaTheme="minorHAnsi" w:hAnsi="Arial"/>
                <w:b/>
                <w:bCs/>
                <w:i/>
                <w:iCs/>
                <w:sz w:val="20"/>
                <w:szCs w:val="20"/>
              </w:rPr>
              <w:t xml:space="preserve">        </w:t>
            </w:r>
            <w:r w:rsidRPr="00FC27BD">
              <w:rPr>
                <w:rFonts w:ascii="Arial" w:hAnsi="Arial"/>
                <w:b/>
                <w:bCs/>
                <w:i/>
                <w:iCs/>
                <w:sz w:val="20"/>
                <w:szCs w:val="20"/>
              </w:rPr>
              <w:t>mg/dl</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31.3 ± 10.4</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37.8 ± 13.2</w:t>
            </w:r>
          </w:p>
        </w:tc>
        <w:tc>
          <w:tcPr>
            <w:tcW w:w="813"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41.7 ± 10.2</w:t>
            </w:r>
          </w:p>
        </w:tc>
        <w:tc>
          <w:tcPr>
            <w:tcW w:w="882"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41.4 ± 8.8</w:t>
            </w:r>
          </w:p>
        </w:tc>
        <w:tc>
          <w:tcPr>
            <w:tcW w:w="554"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0.006*</w:t>
            </w:r>
          </w:p>
        </w:tc>
      </w:tr>
      <w:tr w:rsidR="00191785"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191785" w:rsidRPr="00FC27BD" w:rsidRDefault="00191785" w:rsidP="0005665D">
            <w:pPr>
              <w:bidi w:val="0"/>
              <w:jc w:val="center"/>
              <w:rPr>
                <w:rFonts w:ascii="Arial" w:eastAsiaTheme="minorHAnsi" w:hAnsi="Arial"/>
                <w:b/>
                <w:bCs/>
                <w:i/>
                <w:iCs/>
                <w:sz w:val="20"/>
                <w:szCs w:val="20"/>
              </w:rPr>
            </w:pPr>
            <w:r w:rsidRPr="00FC27BD">
              <w:rPr>
                <w:rFonts w:ascii="Arial" w:eastAsiaTheme="minorHAnsi" w:hAnsi="Arial"/>
                <w:b/>
                <w:bCs/>
                <w:i/>
                <w:iCs/>
                <w:sz w:val="20"/>
                <w:szCs w:val="20"/>
              </w:rPr>
              <w:t xml:space="preserve">LDL-c         </w:t>
            </w:r>
            <w:r w:rsidRPr="00FC27BD">
              <w:rPr>
                <w:rFonts w:ascii="Arial" w:hAnsi="Arial"/>
                <w:b/>
                <w:bCs/>
                <w:i/>
                <w:iCs/>
                <w:sz w:val="20"/>
                <w:szCs w:val="20"/>
              </w:rPr>
              <w:t>mg/dl</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123.1 ± 40.7</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120.7 ± 55.9</w:t>
            </w:r>
          </w:p>
        </w:tc>
        <w:tc>
          <w:tcPr>
            <w:tcW w:w="813"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112.7 ± 31.3</w:t>
            </w:r>
          </w:p>
        </w:tc>
        <w:tc>
          <w:tcPr>
            <w:tcW w:w="882"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132.3 ± 32.2</w:t>
            </w:r>
          </w:p>
        </w:tc>
        <w:tc>
          <w:tcPr>
            <w:tcW w:w="554"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0.49</w:t>
            </w:r>
          </w:p>
        </w:tc>
      </w:tr>
      <w:tr w:rsidR="00C7428F"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428F" w:rsidRPr="00FC27BD" w:rsidRDefault="007B7463" w:rsidP="0005665D">
            <w:pPr>
              <w:bidi w:val="0"/>
              <w:jc w:val="center"/>
              <w:rPr>
                <w:rFonts w:ascii="Arial" w:hAnsi="Arial"/>
                <w:b/>
                <w:bCs/>
                <w:i/>
                <w:iCs/>
                <w:sz w:val="20"/>
                <w:szCs w:val="20"/>
              </w:rPr>
            </w:pPr>
            <w:r w:rsidRPr="00FC27BD">
              <w:rPr>
                <w:rFonts w:ascii="Arial" w:hAnsi="Arial"/>
                <w:b/>
                <w:bCs/>
                <w:i/>
                <w:iCs/>
                <w:sz w:val="20"/>
                <w:szCs w:val="20"/>
              </w:rPr>
              <w:t>Insulin   µIU/mL</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12.6 ± 7.1</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13.1 ± 7.6</w:t>
            </w:r>
          </w:p>
        </w:tc>
        <w:tc>
          <w:tcPr>
            <w:tcW w:w="813"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12.9 ± 6.4</w:t>
            </w:r>
          </w:p>
        </w:tc>
        <w:tc>
          <w:tcPr>
            <w:tcW w:w="882"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10.6 ± 7.9</w:t>
            </w:r>
          </w:p>
        </w:tc>
        <w:tc>
          <w:tcPr>
            <w:tcW w:w="554" w:type="pct"/>
            <w:tcBorders>
              <w:top w:val="single" w:sz="4" w:space="0" w:color="000000"/>
              <w:left w:val="single" w:sz="4" w:space="0" w:color="000000"/>
              <w:bottom w:val="single" w:sz="4" w:space="0" w:color="000000"/>
              <w:right w:val="single" w:sz="4" w:space="0" w:color="000000"/>
            </w:tcBorders>
            <w:vAlign w:val="center"/>
          </w:tcPr>
          <w:p w:rsidR="00C7428F" w:rsidRPr="00FC27BD" w:rsidRDefault="00C7428F" w:rsidP="0005665D">
            <w:pPr>
              <w:bidi w:val="0"/>
              <w:jc w:val="center"/>
              <w:rPr>
                <w:rFonts w:ascii="Arial" w:hAnsi="Arial"/>
                <w:i/>
                <w:iCs/>
                <w:sz w:val="20"/>
                <w:szCs w:val="20"/>
              </w:rPr>
            </w:pPr>
            <w:r w:rsidRPr="00FC27BD">
              <w:rPr>
                <w:rFonts w:ascii="Arial" w:hAnsi="Arial"/>
                <w:i/>
                <w:iCs/>
                <w:sz w:val="20"/>
                <w:szCs w:val="20"/>
              </w:rPr>
              <w:t>0.72</w:t>
            </w:r>
          </w:p>
        </w:tc>
      </w:tr>
      <w:tr w:rsidR="00191785"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191785" w:rsidRPr="00FC27BD" w:rsidRDefault="007B7463" w:rsidP="0005665D">
            <w:pPr>
              <w:bidi w:val="0"/>
              <w:jc w:val="center"/>
              <w:rPr>
                <w:rFonts w:ascii="Arial" w:eastAsiaTheme="minorHAnsi" w:hAnsi="Arial"/>
                <w:b/>
                <w:bCs/>
                <w:i/>
                <w:iCs/>
                <w:sz w:val="20"/>
                <w:szCs w:val="20"/>
              </w:rPr>
            </w:pPr>
            <w:r w:rsidRPr="00FC27BD">
              <w:rPr>
                <w:rFonts w:ascii="Arial" w:eastAsiaTheme="minorHAnsi" w:hAnsi="Arial"/>
                <w:b/>
                <w:bCs/>
                <w:i/>
                <w:iCs/>
                <w:sz w:val="20"/>
                <w:szCs w:val="20"/>
              </w:rPr>
              <w:t xml:space="preserve">FGF21   </w:t>
            </w:r>
            <w:r w:rsidRPr="00FC27BD">
              <w:rPr>
                <w:rFonts w:ascii="Arial" w:hAnsi="Arial"/>
                <w:b/>
                <w:bCs/>
                <w:i/>
                <w:iCs/>
                <w:sz w:val="20"/>
                <w:szCs w:val="20"/>
              </w:rPr>
              <w:t xml:space="preserve">   pg/mL</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392.1 ± 140.4</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318.9 ± 132.8</w:t>
            </w:r>
          </w:p>
        </w:tc>
        <w:tc>
          <w:tcPr>
            <w:tcW w:w="813"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250.7± 83.8</w:t>
            </w:r>
          </w:p>
        </w:tc>
        <w:tc>
          <w:tcPr>
            <w:tcW w:w="882"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336.8 ± 117.2</w:t>
            </w:r>
          </w:p>
        </w:tc>
        <w:tc>
          <w:tcPr>
            <w:tcW w:w="554"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0.007*</w:t>
            </w:r>
          </w:p>
        </w:tc>
      </w:tr>
      <w:tr w:rsidR="00191785" w:rsidRPr="00FC27BD" w:rsidTr="00701E7C">
        <w:trPr>
          <w:trHeight w:val="315"/>
        </w:trPr>
        <w:tc>
          <w:tcPr>
            <w:tcW w:w="101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191785" w:rsidRPr="00FC27BD" w:rsidRDefault="007B7463" w:rsidP="0005665D">
            <w:pPr>
              <w:bidi w:val="0"/>
              <w:jc w:val="center"/>
              <w:rPr>
                <w:rFonts w:ascii="Arial" w:eastAsiaTheme="minorHAnsi" w:hAnsi="Arial"/>
                <w:b/>
                <w:bCs/>
                <w:i/>
                <w:iCs/>
                <w:sz w:val="20"/>
                <w:szCs w:val="20"/>
              </w:rPr>
            </w:pPr>
            <w:r w:rsidRPr="00FC27BD">
              <w:rPr>
                <w:rFonts w:ascii="Arial" w:eastAsiaTheme="minorHAnsi" w:hAnsi="Arial"/>
                <w:b/>
                <w:bCs/>
                <w:i/>
                <w:iCs/>
                <w:sz w:val="20"/>
                <w:szCs w:val="20"/>
              </w:rPr>
              <w:t>HOMA    IR</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4.74 ± 3.89</w:t>
            </w:r>
          </w:p>
        </w:tc>
        <w:tc>
          <w:tcPr>
            <w:tcW w:w="908" w:type="pct"/>
            <w:tcBorders>
              <w:top w:val="single" w:sz="4" w:space="0" w:color="000000"/>
              <w:left w:val="single" w:sz="4" w:space="0" w:color="000000"/>
              <w:bottom w:val="single" w:sz="4" w:space="0" w:color="000000"/>
              <w:right w:val="single" w:sz="4" w:space="0" w:color="000000"/>
            </w:tcBorders>
            <w:noWrap/>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5.01 ± 4.84</w:t>
            </w:r>
          </w:p>
        </w:tc>
        <w:tc>
          <w:tcPr>
            <w:tcW w:w="813"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3.4 ± 1.8</w:t>
            </w:r>
          </w:p>
        </w:tc>
        <w:tc>
          <w:tcPr>
            <w:tcW w:w="882"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3.88 ± 5.2</w:t>
            </w:r>
          </w:p>
        </w:tc>
        <w:tc>
          <w:tcPr>
            <w:tcW w:w="554" w:type="pct"/>
            <w:tcBorders>
              <w:top w:val="single" w:sz="4" w:space="0" w:color="000000"/>
              <w:left w:val="single" w:sz="4" w:space="0" w:color="000000"/>
              <w:bottom w:val="single" w:sz="4" w:space="0" w:color="000000"/>
              <w:right w:val="single" w:sz="4" w:space="0" w:color="000000"/>
            </w:tcBorders>
            <w:vAlign w:val="center"/>
          </w:tcPr>
          <w:p w:rsidR="00191785" w:rsidRPr="00FC27BD" w:rsidRDefault="00191785" w:rsidP="0005665D">
            <w:pPr>
              <w:bidi w:val="0"/>
              <w:jc w:val="center"/>
              <w:rPr>
                <w:rFonts w:ascii="Arial" w:hAnsi="Arial"/>
                <w:i/>
                <w:iCs/>
                <w:sz w:val="20"/>
                <w:szCs w:val="20"/>
              </w:rPr>
            </w:pPr>
            <w:r w:rsidRPr="00FC27BD">
              <w:rPr>
                <w:rFonts w:ascii="Arial" w:hAnsi="Arial"/>
                <w:i/>
                <w:iCs/>
                <w:sz w:val="20"/>
                <w:szCs w:val="20"/>
              </w:rPr>
              <w:t>0.41</w:t>
            </w:r>
          </w:p>
        </w:tc>
      </w:tr>
    </w:tbl>
    <w:p w:rsidR="00FF3398" w:rsidRPr="00FC27BD" w:rsidRDefault="00FF3398" w:rsidP="00701E7C">
      <w:pPr>
        <w:shd w:val="clear" w:color="auto" w:fill="FFFFFF" w:themeFill="background1"/>
        <w:bidi w:val="0"/>
        <w:jc w:val="both"/>
        <w:rPr>
          <w:rFonts w:ascii="Arial" w:hAnsi="Arial" w:cs="Arial"/>
          <w:i/>
          <w:iCs/>
          <w:sz w:val="20"/>
          <w:szCs w:val="20"/>
        </w:rPr>
      </w:pPr>
      <w:r w:rsidRPr="00FC27BD">
        <w:rPr>
          <w:rFonts w:ascii="Arial" w:hAnsi="Arial" w:cs="Arial"/>
          <w:i/>
          <w:iCs/>
          <w:sz w:val="20"/>
          <w:szCs w:val="20"/>
        </w:rPr>
        <w:t xml:space="preserve"> </w:t>
      </w:r>
    </w:p>
    <w:p w:rsidR="00F321C0" w:rsidRPr="000E008C" w:rsidRDefault="00F321C0"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Correlation of serum levels of FGF-21 with the other assessed parameters in CHD</w:t>
      </w:r>
      <w:r w:rsidR="003E0D74" w:rsidRPr="000E008C">
        <w:rPr>
          <w:rFonts w:ascii="Arial" w:hAnsi="Arial" w:cs="Arial"/>
          <w:sz w:val="20"/>
          <w:szCs w:val="20"/>
        </w:rPr>
        <w:t xml:space="preserve"> patients</w:t>
      </w:r>
      <w:r w:rsidRPr="000E008C">
        <w:rPr>
          <w:rFonts w:ascii="Arial" w:hAnsi="Arial" w:cs="Arial"/>
          <w:sz w:val="20"/>
          <w:szCs w:val="20"/>
        </w:rPr>
        <w:t xml:space="preserve"> shows a highly significant positive correlation between FGF21 and each of BMI, DBP, and SBP. A weakly significant positive correlation was also found between FGF21 triacylglycerol and LDL-c. There was also a weakly significant negative correlation between FGF21and HDL-c. NO significant correlation between serum levels of FGF-21 and the rest of the studied parameters (table 5).</w:t>
      </w:r>
    </w:p>
    <w:p w:rsidR="00912D33" w:rsidRPr="00B5186C" w:rsidRDefault="00912D33" w:rsidP="000E008C">
      <w:pPr>
        <w:autoSpaceDE w:val="0"/>
        <w:autoSpaceDN w:val="0"/>
        <w:bidi w:val="0"/>
        <w:adjustRightInd w:val="0"/>
        <w:spacing w:after="0" w:line="360" w:lineRule="auto"/>
        <w:jc w:val="both"/>
        <w:rPr>
          <w:rFonts w:ascii="Arial" w:hAnsi="Arial" w:cs="Arial"/>
          <w:b/>
          <w:bCs/>
          <w:sz w:val="20"/>
          <w:szCs w:val="20"/>
        </w:rPr>
      </w:pPr>
      <w:r w:rsidRPr="00B5186C">
        <w:rPr>
          <w:rFonts w:ascii="Arial" w:hAnsi="Arial" w:cs="Arial"/>
          <w:b/>
          <w:bCs/>
          <w:sz w:val="20"/>
          <w:szCs w:val="20"/>
        </w:rPr>
        <w:t>Table (5): Correlation of serum levels of FGF-21 with the other assessed parameters in CHD patients.</w:t>
      </w:r>
    </w:p>
    <w:tbl>
      <w:tblPr>
        <w:tblW w:w="7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700"/>
        <w:gridCol w:w="2700"/>
      </w:tblGrid>
      <w:tr w:rsidR="00912D33" w:rsidRPr="00F321C0" w:rsidTr="00D97922">
        <w:tc>
          <w:tcPr>
            <w:tcW w:w="2358" w:type="dxa"/>
          </w:tcPr>
          <w:p w:rsidR="00912D33" w:rsidRPr="0005665D" w:rsidRDefault="00912D33" w:rsidP="00C567D2">
            <w:pPr>
              <w:bidi w:val="0"/>
              <w:spacing w:after="0" w:line="240" w:lineRule="auto"/>
              <w:jc w:val="center"/>
              <w:rPr>
                <w:rFonts w:ascii="Arial" w:hAnsi="Arial" w:cs="Arial"/>
                <w:b/>
                <w:bCs/>
                <w:i/>
                <w:iCs/>
                <w:sz w:val="20"/>
                <w:szCs w:val="20"/>
              </w:rPr>
            </w:pPr>
            <w:r w:rsidRPr="0005665D">
              <w:rPr>
                <w:rFonts w:ascii="Arial" w:hAnsi="Arial" w:cs="Arial"/>
                <w:b/>
                <w:bCs/>
                <w:i/>
                <w:iCs/>
                <w:sz w:val="20"/>
                <w:szCs w:val="20"/>
              </w:rPr>
              <w:t>Parameter</w:t>
            </w:r>
          </w:p>
        </w:tc>
        <w:tc>
          <w:tcPr>
            <w:tcW w:w="2700" w:type="dxa"/>
          </w:tcPr>
          <w:p w:rsidR="00912D33" w:rsidRPr="0005665D" w:rsidRDefault="00E0097B" w:rsidP="00C567D2">
            <w:pPr>
              <w:bidi w:val="0"/>
              <w:spacing w:after="0" w:line="360" w:lineRule="auto"/>
              <w:jc w:val="center"/>
              <w:rPr>
                <w:rFonts w:ascii="Arial" w:hAnsi="Arial" w:cs="Arial"/>
                <w:b/>
                <w:bCs/>
                <w:i/>
                <w:iCs/>
                <w:sz w:val="20"/>
                <w:szCs w:val="20"/>
              </w:rPr>
            </w:pPr>
            <w:r>
              <w:rPr>
                <w:rFonts w:ascii="Arial" w:hAnsi="Arial" w:cs="Arial"/>
                <w:b/>
                <w:bCs/>
                <w:i/>
                <w:iCs/>
                <w:sz w:val="20"/>
                <w:szCs w:val="20"/>
              </w:rPr>
              <w:t xml:space="preserve">r </w:t>
            </w:r>
            <w:r w:rsidR="00912D33" w:rsidRPr="0005665D">
              <w:rPr>
                <w:rFonts w:ascii="Arial" w:hAnsi="Arial" w:cs="Arial"/>
                <w:b/>
                <w:bCs/>
                <w:i/>
                <w:iCs/>
                <w:sz w:val="20"/>
                <w:szCs w:val="20"/>
              </w:rPr>
              <w:t>- value</w:t>
            </w:r>
          </w:p>
        </w:tc>
        <w:tc>
          <w:tcPr>
            <w:tcW w:w="2700" w:type="dxa"/>
          </w:tcPr>
          <w:p w:rsidR="00912D33" w:rsidRPr="0005665D" w:rsidRDefault="00912D33" w:rsidP="00C567D2">
            <w:pPr>
              <w:bidi w:val="0"/>
              <w:spacing w:after="0" w:line="360" w:lineRule="auto"/>
              <w:jc w:val="center"/>
              <w:rPr>
                <w:rFonts w:ascii="Arial" w:hAnsi="Arial" w:cs="Arial"/>
                <w:b/>
                <w:bCs/>
                <w:i/>
                <w:iCs/>
                <w:sz w:val="20"/>
                <w:szCs w:val="20"/>
              </w:rPr>
            </w:pPr>
            <w:r w:rsidRPr="0005665D">
              <w:rPr>
                <w:rFonts w:ascii="Arial" w:hAnsi="Arial" w:cs="Arial"/>
                <w:b/>
                <w:bCs/>
                <w:i/>
                <w:iCs/>
                <w:sz w:val="20"/>
                <w:szCs w:val="20"/>
              </w:rPr>
              <w:t>P- value</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tl/>
                <w:lang w:bidi="ar-EG"/>
              </w:rPr>
            </w:pPr>
            <w:r w:rsidRPr="0005665D">
              <w:rPr>
                <w:rFonts w:ascii="Arial" w:hAnsi="Arial" w:cs="Arial"/>
                <w:b/>
                <w:bCs/>
                <w:i/>
                <w:iCs/>
                <w:sz w:val="20"/>
                <w:szCs w:val="20"/>
              </w:rPr>
              <w:t>Age</w:t>
            </w:r>
            <w:r w:rsidRPr="0005665D">
              <w:rPr>
                <w:rFonts w:ascii="Arial" w:hAnsi="Arial" w:cs="Arial"/>
                <w:b/>
                <w:bCs/>
                <w:i/>
                <w:iCs/>
                <w:sz w:val="20"/>
                <w:szCs w:val="20"/>
                <w:lang w:bidi="ar-EG"/>
              </w:rPr>
              <w:t xml:space="preserve"> (years)</w:t>
            </w:r>
          </w:p>
        </w:tc>
        <w:tc>
          <w:tcPr>
            <w:tcW w:w="2700" w:type="dxa"/>
          </w:tcPr>
          <w:p w:rsidR="00912D33" w:rsidRPr="0005665D" w:rsidRDefault="00912D33" w:rsidP="00C567D2">
            <w:pPr>
              <w:bidi w:val="0"/>
              <w:spacing w:after="0" w:line="360" w:lineRule="auto"/>
              <w:jc w:val="center"/>
              <w:rPr>
                <w:rFonts w:ascii="Arial" w:hAnsi="Arial" w:cs="Arial"/>
                <w:sz w:val="20"/>
                <w:szCs w:val="20"/>
              </w:rPr>
            </w:pPr>
            <w:r w:rsidRPr="0005665D">
              <w:rPr>
                <w:rFonts w:ascii="Arial" w:hAnsi="Arial" w:cs="Arial"/>
                <w:sz w:val="20"/>
                <w:szCs w:val="20"/>
              </w:rPr>
              <w:t>-</w:t>
            </w:r>
            <w:r w:rsidR="00C567D2" w:rsidRPr="0005665D">
              <w:rPr>
                <w:rFonts w:ascii="Arial" w:hAnsi="Arial" w:cs="Arial"/>
                <w:sz w:val="20"/>
                <w:szCs w:val="20"/>
              </w:rPr>
              <w:t>0</w:t>
            </w:r>
            <w:r w:rsidRPr="0005665D">
              <w:rPr>
                <w:rFonts w:ascii="Arial" w:hAnsi="Arial" w:cs="Arial"/>
                <w:sz w:val="20"/>
                <w:szCs w:val="20"/>
              </w:rPr>
              <w:t>.115</w:t>
            </w:r>
          </w:p>
        </w:tc>
        <w:tc>
          <w:tcPr>
            <w:tcW w:w="2700" w:type="dxa"/>
          </w:tcPr>
          <w:p w:rsidR="00912D33" w:rsidRPr="0005665D" w:rsidRDefault="00912D33" w:rsidP="00C567D2">
            <w:pPr>
              <w:bidi w:val="0"/>
              <w:spacing w:after="0" w:line="360" w:lineRule="auto"/>
              <w:jc w:val="center"/>
              <w:rPr>
                <w:rFonts w:ascii="Arial" w:hAnsi="Arial" w:cs="Arial"/>
                <w:sz w:val="20"/>
                <w:szCs w:val="20"/>
                <w:lang w:bidi="ar-EG"/>
              </w:rPr>
            </w:pPr>
            <w:r w:rsidRPr="0005665D">
              <w:rPr>
                <w:rFonts w:ascii="Arial" w:hAnsi="Arial" w:cs="Arial"/>
                <w:sz w:val="20"/>
                <w:szCs w:val="20"/>
              </w:rPr>
              <w:t>0.304</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lastRenderedPageBreak/>
              <w:t>BMI   (Kg/m</w:t>
            </w:r>
            <w:r w:rsidRPr="0005665D">
              <w:rPr>
                <w:rFonts w:ascii="Arial" w:hAnsi="Arial" w:cs="Arial"/>
                <w:b/>
                <w:bCs/>
                <w:i/>
                <w:iCs/>
                <w:sz w:val="20"/>
                <w:szCs w:val="20"/>
                <w:vertAlign w:val="superscript"/>
              </w:rPr>
              <w:t>2</w:t>
            </w:r>
            <w:r w:rsidRPr="0005665D">
              <w:rPr>
                <w:rFonts w:ascii="Arial" w:hAnsi="Arial" w:cs="Arial"/>
                <w:b/>
                <w:bCs/>
                <w:i/>
                <w:iCs/>
                <w:sz w:val="20"/>
                <w:szCs w:val="20"/>
              </w:rPr>
              <w:t>)</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.704</w:t>
            </w:r>
            <w:r w:rsidR="00912D33" w:rsidRPr="0005665D">
              <w:rPr>
                <w:rFonts w:ascii="Arial" w:hAnsi="Arial" w:cs="Arial"/>
                <w:sz w:val="20"/>
                <w:szCs w:val="20"/>
                <w:vertAlign w:val="superscript"/>
              </w:rPr>
              <w:t>**</w:t>
            </w:r>
          </w:p>
        </w:tc>
        <w:tc>
          <w:tcPr>
            <w:tcW w:w="2700" w:type="dxa"/>
          </w:tcPr>
          <w:p w:rsidR="00912D33" w:rsidRPr="0005665D" w:rsidRDefault="00912D33" w:rsidP="00C567D2">
            <w:pPr>
              <w:bidi w:val="0"/>
              <w:spacing w:after="0" w:line="360" w:lineRule="auto"/>
              <w:jc w:val="center"/>
              <w:rPr>
                <w:rFonts w:ascii="Arial" w:hAnsi="Arial" w:cs="Arial"/>
                <w:sz w:val="20"/>
                <w:szCs w:val="20"/>
                <w:rtl/>
                <w:lang w:bidi="ar-EG"/>
              </w:rPr>
            </w:pPr>
            <w:r w:rsidRPr="0005665D">
              <w:rPr>
                <w:rFonts w:ascii="Arial" w:hAnsi="Arial" w:cs="Arial"/>
                <w:sz w:val="20"/>
                <w:szCs w:val="20"/>
                <w:rtl/>
              </w:rPr>
              <w:t>&gt;</w:t>
            </w:r>
            <w:r w:rsidRPr="0005665D">
              <w:rPr>
                <w:rFonts w:ascii="Arial" w:hAnsi="Arial" w:cs="Arial"/>
                <w:sz w:val="20"/>
                <w:szCs w:val="20"/>
              </w:rPr>
              <w:t>0.001</w:t>
            </w:r>
            <w:r w:rsidRPr="0005665D">
              <w:rPr>
                <w:rFonts w:ascii="Arial" w:hAnsi="Arial" w:cs="Arial"/>
                <w:sz w:val="20"/>
                <w:szCs w:val="20"/>
                <w:vertAlign w:val="superscript"/>
              </w:rPr>
              <w:t>**</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DM  duration (years)</w:t>
            </w:r>
          </w:p>
        </w:tc>
        <w:tc>
          <w:tcPr>
            <w:tcW w:w="2700" w:type="dxa"/>
          </w:tcPr>
          <w:p w:rsidR="00912D33" w:rsidRPr="0005665D" w:rsidRDefault="00912D33" w:rsidP="00C567D2">
            <w:pPr>
              <w:bidi w:val="0"/>
              <w:spacing w:after="0" w:line="360" w:lineRule="auto"/>
              <w:jc w:val="center"/>
              <w:rPr>
                <w:rFonts w:ascii="Arial" w:hAnsi="Arial" w:cs="Arial"/>
                <w:sz w:val="20"/>
                <w:szCs w:val="20"/>
              </w:rPr>
            </w:pPr>
            <w:r w:rsidRPr="0005665D">
              <w:rPr>
                <w:rFonts w:ascii="Arial" w:hAnsi="Arial" w:cs="Arial"/>
                <w:sz w:val="20"/>
                <w:szCs w:val="20"/>
              </w:rPr>
              <w:t>-</w:t>
            </w:r>
            <w:r w:rsidR="00C567D2" w:rsidRPr="0005665D">
              <w:rPr>
                <w:rFonts w:ascii="Arial" w:hAnsi="Arial" w:cs="Arial"/>
                <w:sz w:val="20"/>
                <w:szCs w:val="20"/>
              </w:rPr>
              <w:t>0</w:t>
            </w:r>
            <w:r w:rsidRPr="0005665D">
              <w:rPr>
                <w:rFonts w:ascii="Arial" w:hAnsi="Arial" w:cs="Arial"/>
                <w:sz w:val="20"/>
                <w:szCs w:val="20"/>
              </w:rPr>
              <w:t>.256</w:t>
            </w:r>
          </w:p>
        </w:tc>
        <w:tc>
          <w:tcPr>
            <w:tcW w:w="2700" w:type="dxa"/>
          </w:tcPr>
          <w:p w:rsidR="00912D33" w:rsidRPr="0005665D" w:rsidRDefault="00912D33" w:rsidP="00C567D2">
            <w:pPr>
              <w:bidi w:val="0"/>
              <w:spacing w:after="0" w:line="360" w:lineRule="auto"/>
              <w:jc w:val="center"/>
              <w:rPr>
                <w:rFonts w:ascii="Arial" w:hAnsi="Arial" w:cs="Arial"/>
                <w:sz w:val="20"/>
                <w:szCs w:val="20"/>
                <w:lang w:bidi="ar-EG"/>
              </w:rPr>
            </w:pPr>
            <w:r w:rsidRPr="0005665D">
              <w:rPr>
                <w:rFonts w:ascii="Arial" w:hAnsi="Arial" w:cs="Arial"/>
                <w:sz w:val="20"/>
                <w:szCs w:val="20"/>
              </w:rPr>
              <w:t>0.127</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HTN  duration (years)</w:t>
            </w:r>
          </w:p>
        </w:tc>
        <w:tc>
          <w:tcPr>
            <w:tcW w:w="2700" w:type="dxa"/>
          </w:tcPr>
          <w:p w:rsidR="00912D33" w:rsidRPr="0005665D" w:rsidRDefault="00912D33" w:rsidP="00C567D2">
            <w:pPr>
              <w:bidi w:val="0"/>
              <w:spacing w:after="0" w:line="360" w:lineRule="auto"/>
              <w:jc w:val="center"/>
              <w:rPr>
                <w:rFonts w:ascii="Arial" w:hAnsi="Arial" w:cs="Arial"/>
                <w:sz w:val="20"/>
                <w:szCs w:val="20"/>
              </w:rPr>
            </w:pPr>
            <w:r w:rsidRPr="0005665D">
              <w:rPr>
                <w:rFonts w:ascii="Arial" w:hAnsi="Arial" w:cs="Arial"/>
                <w:sz w:val="20"/>
                <w:szCs w:val="20"/>
              </w:rPr>
              <w:t>-</w:t>
            </w:r>
            <w:r w:rsidR="00C567D2" w:rsidRPr="0005665D">
              <w:rPr>
                <w:rFonts w:ascii="Arial" w:hAnsi="Arial" w:cs="Arial"/>
                <w:sz w:val="20"/>
                <w:szCs w:val="20"/>
              </w:rPr>
              <w:t>0</w:t>
            </w:r>
            <w:r w:rsidRPr="0005665D">
              <w:rPr>
                <w:rFonts w:ascii="Arial" w:hAnsi="Arial" w:cs="Arial"/>
                <w:sz w:val="20"/>
                <w:szCs w:val="20"/>
              </w:rPr>
              <w:t>.070</w:t>
            </w:r>
          </w:p>
        </w:tc>
        <w:tc>
          <w:tcPr>
            <w:tcW w:w="2700" w:type="dxa"/>
          </w:tcPr>
          <w:p w:rsidR="00912D33" w:rsidRPr="0005665D" w:rsidRDefault="00912D33" w:rsidP="00C567D2">
            <w:pPr>
              <w:bidi w:val="0"/>
              <w:spacing w:after="0" w:line="360" w:lineRule="auto"/>
              <w:jc w:val="center"/>
              <w:rPr>
                <w:rFonts w:ascii="Arial" w:hAnsi="Arial" w:cs="Arial"/>
                <w:sz w:val="20"/>
                <w:szCs w:val="20"/>
                <w:lang w:bidi="ar-EG"/>
              </w:rPr>
            </w:pPr>
            <w:r w:rsidRPr="0005665D">
              <w:rPr>
                <w:rFonts w:ascii="Arial" w:hAnsi="Arial" w:cs="Arial"/>
                <w:sz w:val="20"/>
                <w:szCs w:val="20"/>
              </w:rPr>
              <w:t>0.646</w:t>
            </w:r>
            <w:r w:rsidRPr="0005665D">
              <w:rPr>
                <w:rFonts w:ascii="Arial" w:hAnsi="Arial" w:cs="Arial"/>
                <w:sz w:val="20"/>
                <w:szCs w:val="20"/>
                <w:lang w:bidi="ar-EG"/>
              </w:rPr>
              <w:t xml:space="preserve"> </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DBP  (mmHg)</w:t>
            </w:r>
          </w:p>
        </w:tc>
        <w:tc>
          <w:tcPr>
            <w:tcW w:w="2700" w:type="dxa"/>
          </w:tcPr>
          <w:p w:rsidR="00912D33" w:rsidRPr="0005665D" w:rsidRDefault="00C567D2" w:rsidP="00C567D2">
            <w:pPr>
              <w:bidi w:val="0"/>
              <w:spacing w:after="0" w:line="360" w:lineRule="auto"/>
              <w:jc w:val="center"/>
              <w:rPr>
                <w:rFonts w:ascii="Arial" w:hAnsi="Arial" w:cs="Arial"/>
                <w:sz w:val="20"/>
                <w:szCs w:val="20"/>
                <w:rtl/>
              </w:rPr>
            </w:pPr>
            <w:r w:rsidRPr="0005665D">
              <w:rPr>
                <w:rFonts w:ascii="Arial" w:hAnsi="Arial" w:cs="Arial"/>
                <w:sz w:val="20"/>
                <w:szCs w:val="20"/>
              </w:rPr>
              <w:t>0</w:t>
            </w:r>
            <w:r w:rsidR="00912D33" w:rsidRPr="0005665D">
              <w:rPr>
                <w:rFonts w:ascii="Arial" w:hAnsi="Arial" w:cs="Arial"/>
                <w:sz w:val="20"/>
                <w:szCs w:val="20"/>
              </w:rPr>
              <w:t>.626</w:t>
            </w:r>
            <w:r w:rsidR="00912D33" w:rsidRPr="0005665D">
              <w:rPr>
                <w:rFonts w:ascii="Arial" w:hAnsi="Arial" w:cs="Arial"/>
                <w:sz w:val="20"/>
                <w:szCs w:val="20"/>
                <w:vertAlign w:val="superscript"/>
              </w:rPr>
              <w:t>**</w:t>
            </w:r>
          </w:p>
        </w:tc>
        <w:tc>
          <w:tcPr>
            <w:tcW w:w="2700" w:type="dxa"/>
          </w:tcPr>
          <w:p w:rsidR="00912D33" w:rsidRPr="0005665D" w:rsidRDefault="00912D33" w:rsidP="00C567D2">
            <w:pPr>
              <w:bidi w:val="0"/>
              <w:spacing w:after="0" w:line="360" w:lineRule="auto"/>
              <w:jc w:val="center"/>
              <w:rPr>
                <w:rFonts w:ascii="Arial" w:hAnsi="Arial" w:cs="Arial"/>
                <w:sz w:val="20"/>
                <w:szCs w:val="20"/>
              </w:rPr>
            </w:pPr>
            <w:r w:rsidRPr="0005665D">
              <w:rPr>
                <w:rFonts w:ascii="Arial" w:hAnsi="Arial" w:cs="Arial"/>
                <w:color w:val="000000"/>
                <w:sz w:val="20"/>
                <w:szCs w:val="20"/>
                <w:rtl/>
                <w:lang w:bidi="ar-EG"/>
              </w:rPr>
              <w:t>&gt;</w:t>
            </w:r>
            <w:r w:rsidRPr="0005665D">
              <w:rPr>
                <w:rFonts w:ascii="Arial" w:hAnsi="Arial" w:cs="Arial"/>
                <w:color w:val="000000"/>
                <w:sz w:val="20"/>
                <w:szCs w:val="20"/>
                <w:lang w:bidi="ar-EG"/>
              </w:rPr>
              <w:t>0.001</w:t>
            </w:r>
            <w:r w:rsidRPr="0005665D">
              <w:rPr>
                <w:rFonts w:ascii="Arial" w:hAnsi="Arial" w:cs="Arial"/>
                <w:color w:val="000000"/>
                <w:sz w:val="20"/>
                <w:szCs w:val="20"/>
                <w:vertAlign w:val="superscript"/>
                <w:lang w:bidi="ar-EG"/>
              </w:rPr>
              <w:t>**</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SBP  (mmHg)</w:t>
            </w:r>
          </w:p>
        </w:tc>
        <w:tc>
          <w:tcPr>
            <w:tcW w:w="2700" w:type="dxa"/>
          </w:tcPr>
          <w:p w:rsidR="00912D33" w:rsidRPr="0005665D" w:rsidRDefault="00C567D2" w:rsidP="00C567D2">
            <w:pPr>
              <w:bidi w:val="0"/>
              <w:spacing w:after="0" w:line="360" w:lineRule="auto"/>
              <w:jc w:val="center"/>
              <w:rPr>
                <w:rFonts w:ascii="Arial" w:hAnsi="Arial" w:cs="Arial"/>
                <w:sz w:val="20"/>
                <w:szCs w:val="20"/>
                <w:rtl/>
              </w:rPr>
            </w:pPr>
            <w:r w:rsidRPr="0005665D">
              <w:rPr>
                <w:rFonts w:ascii="Arial" w:hAnsi="Arial" w:cs="Arial"/>
                <w:sz w:val="20"/>
                <w:szCs w:val="20"/>
              </w:rPr>
              <w:t>0</w:t>
            </w:r>
            <w:r w:rsidR="00912D33" w:rsidRPr="0005665D">
              <w:rPr>
                <w:rFonts w:ascii="Arial" w:hAnsi="Arial" w:cs="Arial"/>
                <w:sz w:val="20"/>
                <w:szCs w:val="20"/>
              </w:rPr>
              <w:t>.672</w:t>
            </w:r>
            <w:r w:rsidR="00912D33" w:rsidRPr="0005665D">
              <w:rPr>
                <w:rFonts w:ascii="Arial" w:hAnsi="Arial" w:cs="Arial"/>
                <w:sz w:val="20"/>
                <w:szCs w:val="20"/>
                <w:vertAlign w:val="superscript"/>
              </w:rPr>
              <w:t>**</w:t>
            </w:r>
          </w:p>
        </w:tc>
        <w:tc>
          <w:tcPr>
            <w:tcW w:w="2700" w:type="dxa"/>
          </w:tcPr>
          <w:p w:rsidR="00912D33" w:rsidRPr="0005665D" w:rsidRDefault="00912D33" w:rsidP="00C567D2">
            <w:pPr>
              <w:bidi w:val="0"/>
              <w:spacing w:after="0" w:line="360" w:lineRule="auto"/>
              <w:jc w:val="center"/>
              <w:rPr>
                <w:rFonts w:ascii="Arial" w:hAnsi="Arial" w:cs="Arial"/>
                <w:sz w:val="20"/>
                <w:szCs w:val="20"/>
              </w:rPr>
            </w:pPr>
            <w:r w:rsidRPr="0005665D">
              <w:rPr>
                <w:rFonts w:ascii="Arial" w:hAnsi="Arial" w:cs="Arial"/>
                <w:color w:val="000000"/>
                <w:sz w:val="20"/>
                <w:szCs w:val="20"/>
                <w:rtl/>
                <w:lang w:bidi="ar-EG"/>
              </w:rPr>
              <w:t>&gt;</w:t>
            </w:r>
            <w:r w:rsidRPr="0005665D">
              <w:rPr>
                <w:rFonts w:ascii="Arial" w:hAnsi="Arial" w:cs="Arial"/>
                <w:color w:val="000000"/>
                <w:sz w:val="20"/>
                <w:szCs w:val="20"/>
                <w:lang w:bidi="ar-EG"/>
              </w:rPr>
              <w:t>0.001</w:t>
            </w:r>
            <w:r w:rsidRPr="0005665D">
              <w:rPr>
                <w:rFonts w:ascii="Arial" w:hAnsi="Arial" w:cs="Arial"/>
                <w:color w:val="000000"/>
                <w:sz w:val="20"/>
                <w:szCs w:val="20"/>
                <w:vertAlign w:val="superscript"/>
                <w:lang w:bidi="ar-EG"/>
              </w:rPr>
              <w:t>**</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FBG</w:t>
            </w:r>
            <w:r w:rsidRPr="0005665D">
              <w:rPr>
                <w:rFonts w:ascii="Arial" w:hAnsi="Arial" w:cs="Arial"/>
                <w:sz w:val="20"/>
                <w:szCs w:val="20"/>
              </w:rPr>
              <w:t xml:space="preserve">  </w:t>
            </w:r>
            <w:r w:rsidRPr="0005665D">
              <w:rPr>
                <w:rFonts w:ascii="Arial" w:hAnsi="Arial" w:cs="Arial"/>
                <w:b/>
                <w:bCs/>
                <w:i/>
                <w:iCs/>
                <w:sz w:val="20"/>
                <w:szCs w:val="20"/>
              </w:rPr>
              <w:t>mg/dL</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.052</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.646</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Cholesterol mg/dL</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.152</w:t>
            </w:r>
          </w:p>
        </w:tc>
        <w:tc>
          <w:tcPr>
            <w:tcW w:w="2700" w:type="dxa"/>
          </w:tcPr>
          <w:p w:rsidR="00912D33" w:rsidRPr="0005665D" w:rsidRDefault="00C567D2" w:rsidP="00C567D2">
            <w:pPr>
              <w:bidi w:val="0"/>
              <w:spacing w:after="0" w:line="360" w:lineRule="auto"/>
              <w:jc w:val="center"/>
              <w:rPr>
                <w:rFonts w:ascii="Arial" w:hAnsi="Arial" w:cs="Arial"/>
                <w:sz w:val="20"/>
                <w:szCs w:val="20"/>
                <w:lang w:bidi="ar-EG"/>
              </w:rPr>
            </w:pPr>
            <w:r w:rsidRPr="0005665D">
              <w:rPr>
                <w:rFonts w:ascii="Arial" w:hAnsi="Arial" w:cs="Arial"/>
                <w:sz w:val="20"/>
                <w:szCs w:val="20"/>
              </w:rPr>
              <w:t>0</w:t>
            </w:r>
            <w:r w:rsidR="00912D33" w:rsidRPr="0005665D">
              <w:rPr>
                <w:rFonts w:ascii="Arial" w:hAnsi="Arial" w:cs="Arial"/>
                <w:sz w:val="20"/>
                <w:szCs w:val="20"/>
              </w:rPr>
              <w:t>.173</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Triacylglycerol mg/dL</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.223</w:t>
            </w:r>
            <w:r w:rsidR="00912D33" w:rsidRPr="0005665D">
              <w:rPr>
                <w:rFonts w:ascii="Arial" w:hAnsi="Arial" w:cs="Arial"/>
                <w:sz w:val="20"/>
                <w:szCs w:val="20"/>
                <w:vertAlign w:val="superscript"/>
              </w:rPr>
              <w:t>*</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.044</w:t>
            </w:r>
            <w:r w:rsidR="00912D33" w:rsidRPr="0005665D">
              <w:rPr>
                <w:rFonts w:ascii="Arial" w:hAnsi="Arial" w:cs="Arial"/>
                <w:sz w:val="20"/>
                <w:szCs w:val="20"/>
                <w:vertAlign w:val="superscript"/>
              </w:rPr>
              <w:t>*</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HDL-c</w:t>
            </w:r>
            <w:r w:rsidRPr="0005665D">
              <w:rPr>
                <w:rFonts w:ascii="Arial" w:hAnsi="Arial" w:cs="Arial"/>
                <w:b/>
                <w:bCs/>
                <w:i/>
                <w:iCs/>
                <w:sz w:val="20"/>
                <w:szCs w:val="20"/>
                <w:lang w:bidi="ar-EG"/>
              </w:rPr>
              <w:t xml:space="preserve"> mg/dL</w:t>
            </w:r>
          </w:p>
        </w:tc>
        <w:tc>
          <w:tcPr>
            <w:tcW w:w="2700" w:type="dxa"/>
          </w:tcPr>
          <w:p w:rsidR="00912D33" w:rsidRPr="0005665D" w:rsidRDefault="00912D33" w:rsidP="00C567D2">
            <w:pPr>
              <w:bidi w:val="0"/>
              <w:spacing w:after="0" w:line="360" w:lineRule="auto"/>
              <w:jc w:val="center"/>
              <w:rPr>
                <w:rFonts w:ascii="Arial" w:hAnsi="Arial" w:cs="Arial"/>
                <w:sz w:val="20"/>
                <w:szCs w:val="20"/>
              </w:rPr>
            </w:pPr>
            <w:r w:rsidRPr="0005665D">
              <w:rPr>
                <w:rFonts w:ascii="Arial" w:hAnsi="Arial" w:cs="Arial"/>
                <w:sz w:val="20"/>
                <w:szCs w:val="20"/>
              </w:rPr>
              <w:t>-</w:t>
            </w:r>
            <w:r w:rsidR="00C567D2" w:rsidRPr="0005665D">
              <w:rPr>
                <w:rFonts w:ascii="Arial" w:hAnsi="Arial" w:cs="Arial"/>
                <w:sz w:val="20"/>
                <w:szCs w:val="20"/>
              </w:rPr>
              <w:t>0</w:t>
            </w:r>
            <w:r w:rsidRPr="0005665D">
              <w:rPr>
                <w:rFonts w:ascii="Arial" w:hAnsi="Arial" w:cs="Arial"/>
                <w:sz w:val="20"/>
                <w:szCs w:val="20"/>
              </w:rPr>
              <w:t>.231</w:t>
            </w:r>
            <w:r w:rsidRPr="0005665D">
              <w:rPr>
                <w:rFonts w:ascii="Arial" w:hAnsi="Arial" w:cs="Arial"/>
                <w:sz w:val="20"/>
                <w:szCs w:val="20"/>
                <w:vertAlign w:val="superscript"/>
              </w:rPr>
              <w:t>*</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.037</w:t>
            </w:r>
            <w:r w:rsidR="00912D33" w:rsidRPr="0005665D">
              <w:rPr>
                <w:rFonts w:ascii="Arial" w:hAnsi="Arial" w:cs="Arial"/>
                <w:sz w:val="20"/>
                <w:szCs w:val="20"/>
                <w:vertAlign w:val="superscript"/>
              </w:rPr>
              <w:t>*</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LDL-c</w:t>
            </w:r>
            <w:r w:rsidRPr="0005665D">
              <w:rPr>
                <w:rFonts w:ascii="Arial" w:hAnsi="Arial" w:cs="Arial"/>
                <w:b/>
                <w:bCs/>
                <w:i/>
                <w:iCs/>
                <w:sz w:val="20"/>
                <w:szCs w:val="20"/>
                <w:lang w:bidi="ar-EG"/>
              </w:rPr>
              <w:t xml:space="preserve"> mg/dL</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.224</w:t>
            </w:r>
            <w:r w:rsidR="00912D33" w:rsidRPr="0005665D">
              <w:rPr>
                <w:rFonts w:ascii="Arial" w:hAnsi="Arial" w:cs="Arial"/>
                <w:sz w:val="20"/>
                <w:szCs w:val="20"/>
                <w:vertAlign w:val="superscript"/>
              </w:rPr>
              <w:t>*</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.043</w:t>
            </w:r>
            <w:r w:rsidR="00912D33" w:rsidRPr="0005665D">
              <w:rPr>
                <w:rFonts w:ascii="Arial" w:hAnsi="Arial" w:cs="Arial"/>
                <w:sz w:val="20"/>
                <w:szCs w:val="20"/>
                <w:vertAlign w:val="superscript"/>
              </w:rPr>
              <w:t>*</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Creatinin mg/dL</w:t>
            </w:r>
          </w:p>
        </w:tc>
        <w:tc>
          <w:tcPr>
            <w:tcW w:w="2700" w:type="dxa"/>
          </w:tcPr>
          <w:p w:rsidR="00912D33" w:rsidRPr="0005665D" w:rsidRDefault="00912D33" w:rsidP="00C567D2">
            <w:pPr>
              <w:bidi w:val="0"/>
              <w:spacing w:after="0" w:line="360" w:lineRule="auto"/>
              <w:jc w:val="center"/>
              <w:rPr>
                <w:rFonts w:ascii="Arial" w:hAnsi="Arial" w:cs="Arial"/>
                <w:sz w:val="20"/>
                <w:szCs w:val="20"/>
              </w:rPr>
            </w:pPr>
            <w:r w:rsidRPr="0005665D">
              <w:rPr>
                <w:rFonts w:ascii="Arial" w:hAnsi="Arial" w:cs="Arial"/>
                <w:sz w:val="20"/>
                <w:szCs w:val="20"/>
              </w:rPr>
              <w:t>-</w:t>
            </w:r>
            <w:r w:rsidR="00C567D2" w:rsidRPr="0005665D">
              <w:rPr>
                <w:rFonts w:ascii="Arial" w:hAnsi="Arial" w:cs="Arial"/>
                <w:sz w:val="20"/>
                <w:szCs w:val="20"/>
              </w:rPr>
              <w:t>0</w:t>
            </w:r>
            <w:r w:rsidRPr="0005665D">
              <w:rPr>
                <w:rFonts w:ascii="Arial" w:hAnsi="Arial" w:cs="Arial"/>
                <w:sz w:val="20"/>
                <w:szCs w:val="20"/>
              </w:rPr>
              <w:t>.056</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.615</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Insulin</w:t>
            </w:r>
            <w:r w:rsidRPr="0005665D">
              <w:rPr>
                <w:rFonts w:ascii="Arial" w:hAnsi="Arial" w:cs="Arial"/>
                <w:b/>
                <w:bCs/>
                <w:i/>
                <w:iCs/>
                <w:sz w:val="20"/>
                <w:szCs w:val="20"/>
                <w:lang w:bidi="ar-EG"/>
              </w:rPr>
              <w:t xml:space="preserve">  µIU/mL</w:t>
            </w:r>
          </w:p>
        </w:tc>
        <w:tc>
          <w:tcPr>
            <w:tcW w:w="2700" w:type="dxa"/>
          </w:tcPr>
          <w:p w:rsidR="00912D33" w:rsidRPr="0005665D" w:rsidRDefault="00912D33" w:rsidP="00C567D2">
            <w:pPr>
              <w:bidi w:val="0"/>
              <w:spacing w:after="0" w:line="360" w:lineRule="auto"/>
              <w:jc w:val="center"/>
              <w:rPr>
                <w:rFonts w:ascii="Arial" w:hAnsi="Arial" w:cs="Arial"/>
                <w:sz w:val="20"/>
                <w:szCs w:val="20"/>
              </w:rPr>
            </w:pPr>
            <w:r w:rsidRPr="0005665D">
              <w:rPr>
                <w:rFonts w:ascii="Arial" w:hAnsi="Arial" w:cs="Arial"/>
                <w:sz w:val="20"/>
                <w:szCs w:val="20"/>
              </w:rPr>
              <w:t>-</w:t>
            </w:r>
            <w:r w:rsidR="00C567D2" w:rsidRPr="0005665D">
              <w:rPr>
                <w:rFonts w:ascii="Arial" w:hAnsi="Arial" w:cs="Arial"/>
                <w:sz w:val="20"/>
                <w:szCs w:val="20"/>
              </w:rPr>
              <w:t>0</w:t>
            </w:r>
            <w:r w:rsidRPr="0005665D">
              <w:rPr>
                <w:rFonts w:ascii="Arial" w:hAnsi="Arial" w:cs="Arial"/>
                <w:sz w:val="20"/>
                <w:szCs w:val="20"/>
              </w:rPr>
              <w:t>.081</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.467</w:t>
            </w:r>
          </w:p>
        </w:tc>
      </w:tr>
      <w:tr w:rsidR="00912D33" w:rsidRPr="00F321C0" w:rsidTr="00D97922">
        <w:tc>
          <w:tcPr>
            <w:tcW w:w="2358" w:type="dxa"/>
          </w:tcPr>
          <w:p w:rsidR="00912D33" w:rsidRPr="0005665D" w:rsidRDefault="00912D33" w:rsidP="00C567D2">
            <w:pPr>
              <w:bidi w:val="0"/>
              <w:spacing w:after="0" w:line="240" w:lineRule="auto"/>
              <w:rPr>
                <w:rFonts w:ascii="Arial" w:hAnsi="Arial" w:cs="Arial"/>
                <w:b/>
                <w:bCs/>
                <w:i/>
                <w:iCs/>
                <w:sz w:val="20"/>
                <w:szCs w:val="20"/>
              </w:rPr>
            </w:pPr>
            <w:r w:rsidRPr="0005665D">
              <w:rPr>
                <w:rFonts w:ascii="Arial" w:hAnsi="Arial" w:cs="Arial"/>
                <w:b/>
                <w:bCs/>
                <w:i/>
                <w:iCs/>
                <w:sz w:val="20"/>
                <w:szCs w:val="20"/>
              </w:rPr>
              <w:t>HOMA-IR</w:t>
            </w:r>
          </w:p>
        </w:tc>
        <w:tc>
          <w:tcPr>
            <w:tcW w:w="2700" w:type="dxa"/>
          </w:tcPr>
          <w:p w:rsidR="00912D33" w:rsidRPr="0005665D" w:rsidRDefault="00912D33" w:rsidP="00C567D2">
            <w:pPr>
              <w:bidi w:val="0"/>
              <w:spacing w:after="0" w:line="360" w:lineRule="auto"/>
              <w:jc w:val="center"/>
              <w:rPr>
                <w:rFonts w:ascii="Arial" w:hAnsi="Arial" w:cs="Arial"/>
                <w:sz w:val="20"/>
                <w:szCs w:val="20"/>
              </w:rPr>
            </w:pPr>
            <w:r w:rsidRPr="0005665D">
              <w:rPr>
                <w:rFonts w:ascii="Arial" w:hAnsi="Arial" w:cs="Arial"/>
                <w:sz w:val="20"/>
                <w:szCs w:val="20"/>
              </w:rPr>
              <w:t>-</w:t>
            </w:r>
            <w:r w:rsidR="00C567D2" w:rsidRPr="0005665D">
              <w:rPr>
                <w:rFonts w:ascii="Arial" w:hAnsi="Arial" w:cs="Arial"/>
                <w:sz w:val="20"/>
                <w:szCs w:val="20"/>
              </w:rPr>
              <w:t>0</w:t>
            </w:r>
            <w:r w:rsidRPr="0005665D">
              <w:rPr>
                <w:rFonts w:ascii="Arial" w:hAnsi="Arial" w:cs="Arial"/>
                <w:sz w:val="20"/>
                <w:szCs w:val="20"/>
              </w:rPr>
              <w:t>.086</w:t>
            </w:r>
          </w:p>
        </w:tc>
        <w:tc>
          <w:tcPr>
            <w:tcW w:w="2700" w:type="dxa"/>
          </w:tcPr>
          <w:p w:rsidR="00912D33" w:rsidRPr="0005665D" w:rsidRDefault="00C567D2" w:rsidP="00C567D2">
            <w:pPr>
              <w:bidi w:val="0"/>
              <w:spacing w:after="0" w:line="360" w:lineRule="auto"/>
              <w:jc w:val="center"/>
              <w:rPr>
                <w:rFonts w:ascii="Arial" w:hAnsi="Arial" w:cs="Arial"/>
                <w:sz w:val="20"/>
                <w:szCs w:val="20"/>
              </w:rPr>
            </w:pPr>
            <w:r w:rsidRPr="0005665D">
              <w:rPr>
                <w:rFonts w:ascii="Arial" w:hAnsi="Arial" w:cs="Arial"/>
                <w:sz w:val="20"/>
                <w:szCs w:val="20"/>
              </w:rPr>
              <w:t>0</w:t>
            </w:r>
            <w:r w:rsidR="00912D33" w:rsidRPr="0005665D">
              <w:rPr>
                <w:rFonts w:ascii="Arial" w:hAnsi="Arial" w:cs="Arial"/>
                <w:sz w:val="20"/>
                <w:szCs w:val="20"/>
              </w:rPr>
              <w:t>.440</w:t>
            </w:r>
          </w:p>
        </w:tc>
      </w:tr>
    </w:tbl>
    <w:p w:rsidR="00912D33" w:rsidRPr="00F321C0" w:rsidRDefault="00C732B1" w:rsidP="00C567D2">
      <w:pPr>
        <w:bidi w:val="0"/>
        <w:spacing w:line="240" w:lineRule="auto"/>
        <w:jc w:val="center"/>
        <w:rPr>
          <w:rFonts w:asciiTheme="majorBidi" w:hAnsiTheme="majorBidi" w:cstheme="majorBidi"/>
          <w:sz w:val="24"/>
          <w:szCs w:val="24"/>
          <w:rtl/>
          <w:lang w:bidi="ar-EG"/>
        </w:rPr>
      </w:pPr>
      <w:r>
        <w:rPr>
          <w:rFonts w:asciiTheme="majorBidi" w:hAnsiTheme="majorBidi" w:cstheme="majorBidi"/>
          <w:noProof/>
          <w:sz w:val="24"/>
          <w:szCs w:val="24"/>
          <w:rtl/>
          <w:lang w:eastAsia="zh-TW"/>
        </w:rPr>
        <w:pict>
          <v:shapetype id="_x0000_t202" coordsize="21600,21600" o:spt="202" path="m,l,21600r21600,l21600,xe">
            <v:stroke joinstyle="miter"/>
            <v:path gradientshapeok="t" o:connecttype="rect"/>
          </v:shapetype>
          <v:shape id="_x0000_s1031" type="#_x0000_t202" style="position:absolute;left:0;text-align:left;margin-left:145.1pt;margin-top:20.7pt;width:104.25pt;height:26.25pt;z-index:251661312;mso-position-horizontal-relative:text;mso-position-vertical-relative:text;mso-width-relative:margin;mso-height-relative:margin">
            <v:textbox style="mso-next-textbox:#_x0000_s1031">
              <w:txbxContent>
                <w:p w:rsidR="003C2DF1" w:rsidRPr="00170B2C" w:rsidRDefault="003C2DF1" w:rsidP="003C2DF1">
                  <w:pPr>
                    <w:bidi w:val="0"/>
                    <w:rPr>
                      <w:rFonts w:ascii="Times New Roman" w:hAnsi="Times New Roman" w:cs="Times New Roman"/>
                      <w:sz w:val="20"/>
                      <w:szCs w:val="20"/>
                    </w:rPr>
                  </w:pPr>
                  <w:r w:rsidRPr="00170B2C">
                    <w:rPr>
                      <w:rFonts w:ascii="Times New Roman" w:hAnsi="Times New Roman" w:cs="Times New Roman"/>
                      <w:sz w:val="20"/>
                      <w:szCs w:val="20"/>
                    </w:rPr>
                    <w:t>r=0.7, p</w:t>
                  </w:r>
                  <w:r w:rsidRPr="00170B2C">
                    <w:rPr>
                      <w:rFonts w:ascii="Times New Roman" w:hAnsi="Times New Roman" w:cs="Times New Roman"/>
                      <w:sz w:val="20"/>
                      <w:szCs w:val="20"/>
                      <w:rtl/>
                    </w:rPr>
                    <w:t>&gt;</w:t>
                  </w:r>
                  <w:r w:rsidRPr="00170B2C">
                    <w:rPr>
                      <w:rFonts w:ascii="Times New Roman" w:hAnsi="Times New Roman" w:cs="Times New Roman"/>
                      <w:sz w:val="20"/>
                      <w:szCs w:val="20"/>
                    </w:rPr>
                    <w:t>0.001  n=60</w:t>
                  </w:r>
                </w:p>
              </w:txbxContent>
            </v:textbox>
          </v:shape>
        </w:pict>
      </w:r>
      <w:r w:rsidR="00912D33" w:rsidRPr="00F321C0">
        <w:rPr>
          <w:rFonts w:asciiTheme="majorBidi" w:hAnsiTheme="majorBidi" w:cstheme="majorBidi"/>
          <w:sz w:val="24"/>
          <w:szCs w:val="24"/>
          <w:lang w:bidi="ar-EG"/>
        </w:rPr>
        <w:t>(* : Significant; ** : Highly significant)</w:t>
      </w:r>
    </w:p>
    <w:p w:rsidR="00912D33" w:rsidRPr="00F321C0" w:rsidRDefault="00912D33" w:rsidP="003D1DF8">
      <w:pPr>
        <w:bidi w:val="0"/>
        <w:spacing w:line="360" w:lineRule="auto"/>
        <w:rPr>
          <w:rFonts w:asciiTheme="majorBidi" w:hAnsiTheme="majorBidi" w:cstheme="majorBidi"/>
          <w:b/>
          <w:bCs/>
          <w:noProof/>
          <w:sz w:val="24"/>
          <w:szCs w:val="24"/>
        </w:rPr>
      </w:pPr>
    </w:p>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Multivariate and univariate logistic regression analysis were performed for the factors that could affect and so predict CHD.</w:t>
      </w:r>
    </w:p>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Serum levels of FBG, cholesterol, triacylglycerol, HDL-c, LDL-c, creatinine, insulin, HOMA-IR and FGF 21&amp;</w:t>
      </w:r>
      <w:r w:rsidR="003D1DF8" w:rsidRPr="000E008C">
        <w:rPr>
          <w:rFonts w:ascii="Arial" w:hAnsi="Arial" w:cs="Arial"/>
          <w:sz w:val="20"/>
          <w:szCs w:val="20"/>
        </w:rPr>
        <w:t xml:space="preserve"> </w:t>
      </w:r>
      <w:r w:rsidRPr="000E008C">
        <w:rPr>
          <w:rFonts w:ascii="Arial" w:hAnsi="Arial" w:cs="Arial"/>
          <w:sz w:val="20"/>
          <w:szCs w:val="20"/>
        </w:rPr>
        <w:t>also BMI, DBP and SBP were selected as predictor variables for univariate analysis. Multivariate analysis was done stepwise. SBP was found to be the independent predictor for CHD (p =</w:t>
      </w:r>
      <w:r w:rsidR="009F7B0E" w:rsidRPr="000E008C">
        <w:rPr>
          <w:rFonts w:ascii="Arial" w:hAnsi="Arial" w:cs="Arial"/>
          <w:sz w:val="20"/>
          <w:szCs w:val="20"/>
        </w:rPr>
        <w:t>0</w:t>
      </w:r>
      <w:r w:rsidRPr="000E008C">
        <w:rPr>
          <w:rFonts w:ascii="Arial" w:hAnsi="Arial" w:cs="Arial"/>
          <w:sz w:val="20"/>
          <w:szCs w:val="20"/>
        </w:rPr>
        <w:t>.005, Odds Ratio (OR) = 1.396).</w:t>
      </w:r>
    </w:p>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Table (</w:t>
      </w:r>
      <w:r w:rsidR="007F5C28" w:rsidRPr="000E008C">
        <w:rPr>
          <w:rFonts w:ascii="Arial" w:hAnsi="Arial" w:cs="Arial"/>
          <w:sz w:val="20"/>
          <w:szCs w:val="20"/>
        </w:rPr>
        <w:t>6</w:t>
      </w:r>
      <w:r w:rsidRPr="000E008C">
        <w:rPr>
          <w:rFonts w:ascii="Arial" w:hAnsi="Arial" w:cs="Arial"/>
          <w:sz w:val="20"/>
          <w:szCs w:val="20"/>
        </w:rPr>
        <w:t>): Receiving Operating Curve (ROC) curve of serum concentration of FGF 21 for identification of patients destined to develop CHD compared to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578"/>
        <w:gridCol w:w="1761"/>
        <w:gridCol w:w="1737"/>
        <w:gridCol w:w="1156"/>
        <w:gridCol w:w="1382"/>
      </w:tblGrid>
      <w:tr w:rsidR="005772D5" w:rsidRPr="000E008C" w:rsidTr="00A13437">
        <w:tc>
          <w:tcPr>
            <w:tcW w:w="1242" w:type="dxa"/>
          </w:tcPr>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Variable</w:t>
            </w:r>
          </w:p>
        </w:tc>
        <w:tc>
          <w:tcPr>
            <w:tcW w:w="1578" w:type="dxa"/>
          </w:tcPr>
          <w:p w:rsidR="005772D5" w:rsidRPr="000E008C" w:rsidRDefault="00A13437"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Cut-</w:t>
            </w:r>
            <w:r w:rsidR="005772D5" w:rsidRPr="000E008C">
              <w:rPr>
                <w:rFonts w:ascii="Arial" w:hAnsi="Arial" w:cs="Arial"/>
                <w:sz w:val="20"/>
                <w:szCs w:val="20"/>
              </w:rPr>
              <w:t>off value</w:t>
            </w:r>
          </w:p>
        </w:tc>
        <w:tc>
          <w:tcPr>
            <w:tcW w:w="1761" w:type="dxa"/>
          </w:tcPr>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Sensitivity %</w:t>
            </w:r>
          </w:p>
        </w:tc>
        <w:tc>
          <w:tcPr>
            <w:tcW w:w="1737" w:type="dxa"/>
          </w:tcPr>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Specificity %</w:t>
            </w:r>
          </w:p>
        </w:tc>
        <w:tc>
          <w:tcPr>
            <w:tcW w:w="1156" w:type="dxa"/>
          </w:tcPr>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AUC</w:t>
            </w:r>
          </w:p>
        </w:tc>
        <w:tc>
          <w:tcPr>
            <w:tcW w:w="1382" w:type="dxa"/>
          </w:tcPr>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P value</w:t>
            </w:r>
          </w:p>
        </w:tc>
      </w:tr>
      <w:tr w:rsidR="005772D5" w:rsidRPr="000E008C" w:rsidTr="00A13437">
        <w:tc>
          <w:tcPr>
            <w:tcW w:w="1242" w:type="dxa"/>
          </w:tcPr>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FGF 21</w:t>
            </w:r>
          </w:p>
        </w:tc>
        <w:tc>
          <w:tcPr>
            <w:tcW w:w="1578" w:type="dxa"/>
          </w:tcPr>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236</w:t>
            </w:r>
          </w:p>
        </w:tc>
        <w:tc>
          <w:tcPr>
            <w:tcW w:w="1761" w:type="dxa"/>
          </w:tcPr>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68.33%</w:t>
            </w:r>
          </w:p>
        </w:tc>
        <w:tc>
          <w:tcPr>
            <w:tcW w:w="1737" w:type="dxa"/>
          </w:tcPr>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75%</w:t>
            </w:r>
          </w:p>
        </w:tc>
        <w:tc>
          <w:tcPr>
            <w:tcW w:w="1156" w:type="dxa"/>
          </w:tcPr>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.788</w:t>
            </w:r>
          </w:p>
        </w:tc>
        <w:tc>
          <w:tcPr>
            <w:tcW w:w="1382" w:type="dxa"/>
          </w:tcPr>
          <w:p w:rsidR="005772D5" w:rsidRPr="000E008C" w:rsidRDefault="00A13437"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0</w:t>
            </w:r>
            <w:r w:rsidR="005772D5" w:rsidRPr="000E008C">
              <w:rPr>
                <w:rFonts w:ascii="Arial" w:hAnsi="Arial" w:cs="Arial"/>
                <w:sz w:val="20"/>
                <w:szCs w:val="20"/>
              </w:rPr>
              <w:t>.002</w:t>
            </w:r>
          </w:p>
        </w:tc>
      </w:tr>
    </w:tbl>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 xml:space="preserve"> (AUC; area under the curve)</w:t>
      </w:r>
    </w:p>
    <w:p w:rsidR="005772D5" w:rsidRPr="000E008C" w:rsidRDefault="005772D5" w:rsidP="000E008C">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ROC curve analysis indicated that the optimum cut off value for plasma FGF 21 level in patients with CHD versus control was 236 pg/mL which gives 68.33% sensitivity and 75% specificity.</w:t>
      </w:r>
    </w:p>
    <w:p w:rsidR="005772D5" w:rsidRPr="00F321C0" w:rsidRDefault="005772D5" w:rsidP="007F5C28">
      <w:pPr>
        <w:bidi w:val="0"/>
        <w:jc w:val="both"/>
        <w:rPr>
          <w:rFonts w:asciiTheme="majorBidi" w:hAnsiTheme="majorBidi" w:cstheme="majorBidi"/>
          <w:i/>
          <w:iCs/>
          <w:color w:val="000000"/>
          <w:sz w:val="24"/>
          <w:szCs w:val="24"/>
        </w:rPr>
      </w:pPr>
    </w:p>
    <w:p w:rsidR="005772D5" w:rsidRDefault="005772D5" w:rsidP="005772D5">
      <w:pPr>
        <w:spacing w:line="360" w:lineRule="auto"/>
        <w:jc w:val="both"/>
        <w:rPr>
          <w:rFonts w:ascii="Times New Roman" w:hAnsi="Times New Roman" w:cs="Times New Roman"/>
          <w:sz w:val="28"/>
          <w:szCs w:val="28"/>
          <w:rtl/>
        </w:rPr>
      </w:pPr>
      <w:r>
        <w:rPr>
          <w:rFonts w:ascii="Times New Roman" w:hAnsi="Times New Roman" w:cs="Times New Roman"/>
          <w:noProof/>
          <w:sz w:val="28"/>
          <w:szCs w:val="28"/>
        </w:rPr>
        <w:lastRenderedPageBreak/>
        <w:drawing>
          <wp:inline distT="0" distB="0" distL="0" distR="0">
            <wp:extent cx="3907155" cy="35023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srcRect l="16196" r="12564"/>
                    <a:stretch/>
                  </pic:blipFill>
                  <pic:spPr bwMode="auto">
                    <a:xfrm>
                      <a:off x="0" y="0"/>
                      <a:ext cx="3918514" cy="3512507"/>
                    </a:xfrm>
                    <a:prstGeom prst="rect">
                      <a:avLst/>
                    </a:prstGeom>
                    <a:noFill/>
                    <a:ln>
                      <a:noFill/>
                    </a:ln>
                    <a:extLst>
                      <a:ext uri="{53640926-AAD7-44D8-BBD7-CCE9431645EC}">
                        <a14:shadowObscured xmlns:a14="http://schemas.microsoft.com/office/drawing/2010/main"/>
                      </a:ext>
                    </a:extLst>
                  </pic:spPr>
                </pic:pic>
              </a:graphicData>
            </a:graphic>
          </wp:inline>
        </w:drawing>
      </w:r>
    </w:p>
    <w:p w:rsidR="001D60EC" w:rsidRPr="000E008C" w:rsidRDefault="00B645CB" w:rsidP="000E008C">
      <w:pPr>
        <w:autoSpaceDE w:val="0"/>
        <w:autoSpaceDN w:val="0"/>
        <w:bidi w:val="0"/>
        <w:adjustRightInd w:val="0"/>
        <w:spacing w:after="0" w:line="360" w:lineRule="auto"/>
        <w:jc w:val="both"/>
        <w:rPr>
          <w:rFonts w:ascii="Arial" w:hAnsi="Arial" w:cs="Arial"/>
          <w:sz w:val="20"/>
          <w:szCs w:val="20"/>
        </w:rPr>
      </w:pPr>
      <w:r>
        <w:rPr>
          <w:rFonts w:ascii="Arial" w:hAnsi="Arial" w:cs="Arial"/>
          <w:sz w:val="20"/>
          <w:szCs w:val="20"/>
        </w:rPr>
        <w:t xml:space="preserve">                  </w:t>
      </w:r>
      <w:r w:rsidR="005772D5" w:rsidRPr="000E008C">
        <w:rPr>
          <w:rFonts w:ascii="Arial" w:hAnsi="Arial" w:cs="Arial"/>
          <w:sz w:val="20"/>
          <w:szCs w:val="20"/>
        </w:rPr>
        <w:t>Figure (</w:t>
      </w:r>
      <w:r w:rsidR="009F2A78">
        <w:rPr>
          <w:rFonts w:ascii="Arial" w:hAnsi="Arial" w:cs="Arial"/>
          <w:sz w:val="20"/>
          <w:szCs w:val="20"/>
        </w:rPr>
        <w:t>2</w:t>
      </w:r>
      <w:r w:rsidR="005772D5" w:rsidRPr="000E008C">
        <w:rPr>
          <w:rFonts w:ascii="Arial" w:hAnsi="Arial" w:cs="Arial"/>
          <w:sz w:val="20"/>
          <w:szCs w:val="20"/>
        </w:rPr>
        <w:t>): ROC curve analysis to predict CHD versus normal control.</w:t>
      </w:r>
    </w:p>
    <w:p w:rsidR="00B645CB" w:rsidRDefault="00B645CB" w:rsidP="00C567D2">
      <w:pPr>
        <w:autoSpaceDE w:val="0"/>
        <w:autoSpaceDN w:val="0"/>
        <w:bidi w:val="0"/>
        <w:adjustRightInd w:val="0"/>
        <w:spacing w:after="0" w:line="360" w:lineRule="auto"/>
        <w:jc w:val="both"/>
        <w:rPr>
          <w:rFonts w:ascii="Arial" w:hAnsi="Arial" w:cs="Arial"/>
          <w:b/>
          <w:bCs/>
          <w:sz w:val="20"/>
          <w:szCs w:val="20"/>
        </w:rPr>
      </w:pPr>
    </w:p>
    <w:p w:rsidR="001D60EC" w:rsidRDefault="00B645CB" w:rsidP="00B645CB">
      <w:pPr>
        <w:autoSpaceDE w:val="0"/>
        <w:autoSpaceDN w:val="0"/>
        <w:bidi w:val="0"/>
        <w:adjustRightInd w:val="0"/>
        <w:spacing w:after="0" w:line="360" w:lineRule="auto"/>
        <w:jc w:val="both"/>
        <w:rPr>
          <w:rFonts w:ascii="Arial" w:hAnsi="Arial" w:cs="Arial"/>
          <w:b/>
          <w:bCs/>
          <w:sz w:val="20"/>
          <w:szCs w:val="20"/>
        </w:rPr>
      </w:pPr>
      <w:r>
        <w:rPr>
          <w:rFonts w:ascii="Arial" w:hAnsi="Arial" w:cs="Arial"/>
          <w:b/>
          <w:bCs/>
          <w:sz w:val="20"/>
          <w:szCs w:val="20"/>
        </w:rPr>
        <w:t>DISCUSSION</w:t>
      </w:r>
      <w:r w:rsidR="000A06A3" w:rsidRPr="00B645CB">
        <w:rPr>
          <w:rFonts w:ascii="Arial" w:hAnsi="Arial" w:cs="Arial"/>
          <w:b/>
          <w:bCs/>
          <w:sz w:val="20"/>
          <w:szCs w:val="20"/>
        </w:rPr>
        <w:t xml:space="preserve">: </w:t>
      </w:r>
    </w:p>
    <w:p w:rsidR="003F4D5C" w:rsidRDefault="00E56E37" w:rsidP="00A86CFE">
      <w:pPr>
        <w:autoSpaceDE w:val="0"/>
        <w:autoSpaceDN w:val="0"/>
        <w:bidi w:val="0"/>
        <w:adjustRightInd w:val="0"/>
        <w:spacing w:after="0" w:line="360" w:lineRule="auto"/>
        <w:ind w:firstLine="720"/>
        <w:jc w:val="both"/>
        <w:rPr>
          <w:rFonts w:asciiTheme="minorBidi" w:hAnsiTheme="minorBidi"/>
          <w:sz w:val="20"/>
          <w:szCs w:val="20"/>
        </w:rPr>
      </w:pPr>
      <w:r>
        <w:rPr>
          <w:rFonts w:asciiTheme="minorBidi" w:hAnsiTheme="minorBidi"/>
          <w:sz w:val="20"/>
          <w:szCs w:val="20"/>
        </w:rPr>
        <w:t>FGF21 are protein</w:t>
      </w:r>
      <w:r w:rsidR="00A86CFE">
        <w:rPr>
          <w:rFonts w:asciiTheme="minorBidi" w:hAnsiTheme="minorBidi"/>
          <w:sz w:val="20"/>
          <w:szCs w:val="20"/>
        </w:rPr>
        <w:t xml:space="preserve"> substance</w:t>
      </w:r>
      <w:r>
        <w:rPr>
          <w:rFonts w:asciiTheme="minorBidi" w:hAnsiTheme="minorBidi"/>
          <w:sz w:val="20"/>
          <w:szCs w:val="20"/>
        </w:rPr>
        <w:t>s</w:t>
      </w:r>
      <w:r w:rsidR="00A86CFE">
        <w:rPr>
          <w:rFonts w:asciiTheme="minorBidi" w:hAnsiTheme="minorBidi"/>
          <w:sz w:val="20"/>
          <w:szCs w:val="20"/>
        </w:rPr>
        <w:t xml:space="preserve"> that </w:t>
      </w:r>
      <w:r w:rsidR="006E03C7">
        <w:rPr>
          <w:rFonts w:asciiTheme="minorBidi" w:hAnsiTheme="minorBidi"/>
          <w:sz w:val="20"/>
          <w:szCs w:val="20"/>
        </w:rPr>
        <w:t xml:space="preserve">are </w:t>
      </w:r>
      <w:r>
        <w:rPr>
          <w:rFonts w:asciiTheme="minorBidi" w:hAnsiTheme="minorBidi"/>
          <w:sz w:val="20"/>
          <w:szCs w:val="20"/>
        </w:rPr>
        <w:t>synthesized</w:t>
      </w:r>
      <w:r w:rsidR="00A86CFE">
        <w:rPr>
          <w:rFonts w:asciiTheme="minorBidi" w:hAnsiTheme="minorBidi"/>
          <w:sz w:val="20"/>
          <w:szCs w:val="20"/>
        </w:rPr>
        <w:t xml:space="preserve"> by the liver and</w:t>
      </w:r>
      <w:r>
        <w:rPr>
          <w:rFonts w:asciiTheme="minorBidi" w:hAnsiTheme="minorBidi"/>
          <w:sz w:val="20"/>
          <w:szCs w:val="20"/>
        </w:rPr>
        <w:t xml:space="preserve"> adipose tissue.</w:t>
      </w:r>
      <w:r w:rsidR="00A86CFE">
        <w:rPr>
          <w:rFonts w:asciiTheme="minorBidi" w:hAnsiTheme="minorBidi"/>
          <w:sz w:val="20"/>
          <w:szCs w:val="20"/>
        </w:rPr>
        <w:t xml:space="preserve"> they are </w:t>
      </w:r>
      <w:r w:rsidR="005100B8">
        <w:rPr>
          <w:rFonts w:asciiTheme="minorBidi" w:hAnsiTheme="minorBidi"/>
          <w:sz w:val="20"/>
          <w:szCs w:val="20"/>
        </w:rPr>
        <w:t>responsible for regulation of</w:t>
      </w:r>
      <w:r w:rsidR="00A86CFE">
        <w:rPr>
          <w:rFonts w:ascii="Arial" w:hAnsi="Arial" w:cs="Arial"/>
          <w:sz w:val="20"/>
          <w:szCs w:val="20"/>
        </w:rPr>
        <w:t xml:space="preserve"> lipid and glucose metabolism</w:t>
      </w:r>
      <w:r w:rsidR="003F4D5C">
        <w:rPr>
          <w:rFonts w:ascii="Arial" w:hAnsi="Arial" w:cs="Arial"/>
          <w:sz w:val="20"/>
          <w:szCs w:val="20"/>
        </w:rPr>
        <w:t xml:space="preserve"> and modifying insulin sensitivity</w:t>
      </w:r>
      <w:r w:rsidR="00A86CFE">
        <w:rPr>
          <w:rFonts w:ascii="Arial" w:hAnsi="Arial" w:cs="Arial"/>
          <w:sz w:val="20"/>
          <w:szCs w:val="20"/>
        </w:rPr>
        <w:t xml:space="preserve"> t</w:t>
      </w:r>
      <w:r w:rsidR="003F4D5C">
        <w:rPr>
          <w:rFonts w:asciiTheme="minorBidi" w:hAnsiTheme="minorBidi"/>
          <w:sz w:val="20"/>
          <w:szCs w:val="20"/>
        </w:rPr>
        <w:t>hrough endocrine rather than paracrine pattern.</w:t>
      </w:r>
      <w:r w:rsidR="00147AB6" w:rsidRPr="00147AB6">
        <w:rPr>
          <w:rFonts w:asciiTheme="minorBidi" w:hAnsiTheme="minorBidi"/>
          <w:sz w:val="20"/>
          <w:szCs w:val="20"/>
        </w:rPr>
        <w:t xml:space="preserve"> </w:t>
      </w:r>
      <w:r w:rsidR="00147AB6" w:rsidRPr="00965961">
        <w:rPr>
          <w:rFonts w:asciiTheme="minorBidi" w:hAnsiTheme="minorBidi"/>
          <w:sz w:val="20"/>
          <w:szCs w:val="20"/>
        </w:rPr>
        <w:t>[</w:t>
      </w:r>
      <w:r w:rsidR="00147AB6">
        <w:rPr>
          <w:rFonts w:asciiTheme="minorBidi" w:hAnsiTheme="minorBidi"/>
          <w:sz w:val="20"/>
          <w:szCs w:val="20"/>
        </w:rPr>
        <w:t>16]</w:t>
      </w:r>
    </w:p>
    <w:p w:rsidR="00A86CFE" w:rsidRDefault="00637C6F" w:rsidP="00672C4D">
      <w:pPr>
        <w:autoSpaceDE w:val="0"/>
        <w:autoSpaceDN w:val="0"/>
        <w:bidi w:val="0"/>
        <w:adjustRightInd w:val="0"/>
        <w:spacing w:after="0" w:line="360" w:lineRule="auto"/>
        <w:ind w:firstLine="720"/>
        <w:jc w:val="both"/>
        <w:rPr>
          <w:rFonts w:asciiTheme="minorBidi" w:hAnsiTheme="minorBidi"/>
          <w:sz w:val="20"/>
          <w:szCs w:val="20"/>
        </w:rPr>
      </w:pPr>
      <w:r>
        <w:rPr>
          <w:rFonts w:asciiTheme="minorBidi" w:hAnsiTheme="minorBidi"/>
          <w:sz w:val="20"/>
          <w:szCs w:val="20"/>
        </w:rPr>
        <w:t>Some</w:t>
      </w:r>
      <w:r w:rsidR="003F4D5C">
        <w:rPr>
          <w:rFonts w:asciiTheme="minorBidi" w:hAnsiTheme="minorBidi"/>
          <w:sz w:val="20"/>
          <w:szCs w:val="20"/>
        </w:rPr>
        <w:t xml:space="preserve"> inv</w:t>
      </w:r>
      <w:r w:rsidR="006E03C7">
        <w:rPr>
          <w:rFonts w:asciiTheme="minorBidi" w:hAnsiTheme="minorBidi"/>
          <w:sz w:val="20"/>
          <w:szCs w:val="20"/>
        </w:rPr>
        <w:t>estigators described FGF21</w:t>
      </w:r>
      <w:r w:rsidR="003F4D5C">
        <w:rPr>
          <w:rFonts w:asciiTheme="minorBidi" w:hAnsiTheme="minorBidi"/>
          <w:sz w:val="20"/>
          <w:szCs w:val="20"/>
        </w:rPr>
        <w:t xml:space="preserve"> substances</w:t>
      </w:r>
      <w:r w:rsidR="006E03C7">
        <w:rPr>
          <w:rFonts w:asciiTheme="minorBidi" w:hAnsiTheme="minorBidi"/>
          <w:sz w:val="20"/>
          <w:szCs w:val="20"/>
        </w:rPr>
        <w:t xml:space="preserve"> as cytokines that releas</w:t>
      </w:r>
      <w:r w:rsidR="003F4D5C">
        <w:rPr>
          <w:rFonts w:asciiTheme="minorBidi" w:hAnsiTheme="minorBidi"/>
          <w:sz w:val="20"/>
          <w:szCs w:val="20"/>
        </w:rPr>
        <w:t>e</w:t>
      </w:r>
      <w:r w:rsidR="006E03C7">
        <w:rPr>
          <w:rFonts w:asciiTheme="minorBidi" w:hAnsiTheme="minorBidi"/>
          <w:sz w:val="20"/>
          <w:szCs w:val="20"/>
        </w:rPr>
        <w:t xml:space="preserve">d by the body </w:t>
      </w:r>
      <w:r w:rsidR="007F3309">
        <w:rPr>
          <w:rFonts w:asciiTheme="minorBidi" w:hAnsiTheme="minorBidi"/>
          <w:sz w:val="20"/>
          <w:szCs w:val="20"/>
        </w:rPr>
        <w:t xml:space="preserve"> as a protective </w:t>
      </w:r>
      <w:r w:rsidR="003F4D5C">
        <w:rPr>
          <w:rFonts w:asciiTheme="minorBidi" w:hAnsiTheme="minorBidi"/>
          <w:sz w:val="20"/>
          <w:szCs w:val="20"/>
        </w:rPr>
        <w:t>response to inflammatory reaction secondary to</w:t>
      </w:r>
      <w:r w:rsidR="00147AB6">
        <w:rPr>
          <w:rFonts w:asciiTheme="minorBidi" w:hAnsiTheme="minorBidi"/>
          <w:sz w:val="20"/>
          <w:szCs w:val="20"/>
        </w:rPr>
        <w:t xml:space="preserve"> metabolic</w:t>
      </w:r>
      <w:r w:rsidR="00672C4D">
        <w:rPr>
          <w:rFonts w:asciiTheme="minorBidi" w:hAnsiTheme="minorBidi"/>
          <w:sz w:val="20"/>
          <w:szCs w:val="20"/>
        </w:rPr>
        <w:t xml:space="preserve"> syndrome </w:t>
      </w:r>
      <w:r w:rsidR="00672C4D" w:rsidRPr="00965961">
        <w:rPr>
          <w:rFonts w:asciiTheme="minorBidi" w:hAnsiTheme="minorBidi"/>
          <w:sz w:val="20"/>
          <w:szCs w:val="20"/>
        </w:rPr>
        <w:t>[</w:t>
      </w:r>
      <w:r w:rsidR="00672C4D">
        <w:rPr>
          <w:rFonts w:asciiTheme="minorBidi" w:hAnsiTheme="minorBidi"/>
          <w:sz w:val="20"/>
          <w:szCs w:val="20"/>
        </w:rPr>
        <w:t>17], in type 2 DM and</w:t>
      </w:r>
      <w:r w:rsidR="003F4D5C">
        <w:rPr>
          <w:rFonts w:asciiTheme="minorBidi" w:hAnsiTheme="minorBidi"/>
          <w:sz w:val="20"/>
          <w:szCs w:val="20"/>
        </w:rPr>
        <w:t xml:space="preserve"> tiss</w:t>
      </w:r>
      <w:r w:rsidR="007F3309">
        <w:rPr>
          <w:rFonts w:asciiTheme="minorBidi" w:hAnsiTheme="minorBidi"/>
          <w:sz w:val="20"/>
          <w:szCs w:val="20"/>
        </w:rPr>
        <w:t>ue ischemia</w:t>
      </w:r>
      <w:r w:rsidR="00672C4D">
        <w:rPr>
          <w:rFonts w:asciiTheme="minorBidi" w:hAnsiTheme="minorBidi"/>
          <w:sz w:val="20"/>
          <w:szCs w:val="20"/>
        </w:rPr>
        <w:t>, and this may explains high serum level of FGF21</w:t>
      </w:r>
      <w:r w:rsidR="003F4D5C">
        <w:rPr>
          <w:rFonts w:asciiTheme="minorBidi" w:hAnsiTheme="minorBidi"/>
          <w:sz w:val="20"/>
          <w:szCs w:val="20"/>
        </w:rPr>
        <w:t xml:space="preserve"> in cases related to AMI, CAD</w:t>
      </w:r>
      <w:r w:rsidR="00147AB6">
        <w:rPr>
          <w:rFonts w:asciiTheme="minorBidi" w:hAnsiTheme="minorBidi"/>
          <w:sz w:val="20"/>
          <w:szCs w:val="20"/>
        </w:rPr>
        <w:t xml:space="preserve"> </w:t>
      </w:r>
      <w:r w:rsidR="00147AB6" w:rsidRPr="00965961">
        <w:rPr>
          <w:rFonts w:asciiTheme="minorBidi" w:hAnsiTheme="minorBidi"/>
          <w:sz w:val="20"/>
          <w:szCs w:val="20"/>
        </w:rPr>
        <w:t>[</w:t>
      </w:r>
      <w:r w:rsidR="00147AB6">
        <w:rPr>
          <w:rFonts w:asciiTheme="minorBidi" w:hAnsiTheme="minorBidi"/>
          <w:sz w:val="20"/>
          <w:szCs w:val="20"/>
        </w:rPr>
        <w:t>5&amp;6]</w:t>
      </w:r>
      <w:r w:rsidR="003F4D5C">
        <w:rPr>
          <w:rFonts w:asciiTheme="minorBidi" w:hAnsiTheme="minorBidi"/>
          <w:sz w:val="20"/>
          <w:szCs w:val="20"/>
        </w:rPr>
        <w:t xml:space="preserve"> and </w:t>
      </w:r>
      <w:r w:rsidR="00672C4D">
        <w:rPr>
          <w:rFonts w:asciiTheme="minorBidi" w:hAnsiTheme="minorBidi"/>
          <w:sz w:val="20"/>
          <w:szCs w:val="20"/>
        </w:rPr>
        <w:t>in patients with thick atherosclerotic carotid plaques</w:t>
      </w:r>
      <w:r w:rsidR="003F4D5C">
        <w:rPr>
          <w:rFonts w:asciiTheme="minorBidi" w:hAnsiTheme="minorBidi"/>
          <w:sz w:val="20"/>
          <w:szCs w:val="20"/>
        </w:rPr>
        <w:t xml:space="preserve">. </w:t>
      </w:r>
      <w:r w:rsidR="00147AB6" w:rsidRPr="00965961">
        <w:rPr>
          <w:rFonts w:asciiTheme="minorBidi" w:hAnsiTheme="minorBidi"/>
          <w:sz w:val="20"/>
          <w:szCs w:val="20"/>
        </w:rPr>
        <w:t>[</w:t>
      </w:r>
      <w:r w:rsidR="00147AB6">
        <w:rPr>
          <w:rFonts w:asciiTheme="minorBidi" w:hAnsiTheme="minorBidi"/>
          <w:sz w:val="20"/>
          <w:szCs w:val="20"/>
        </w:rPr>
        <w:t>7]</w:t>
      </w:r>
    </w:p>
    <w:p w:rsidR="005A083F" w:rsidRDefault="00A86CFE" w:rsidP="005A083F">
      <w:pPr>
        <w:autoSpaceDE w:val="0"/>
        <w:autoSpaceDN w:val="0"/>
        <w:bidi w:val="0"/>
        <w:adjustRightInd w:val="0"/>
        <w:spacing w:after="0" w:line="360" w:lineRule="auto"/>
        <w:ind w:firstLine="720"/>
        <w:jc w:val="both"/>
        <w:rPr>
          <w:rFonts w:asciiTheme="minorBidi" w:hAnsiTheme="minorBidi"/>
          <w:sz w:val="20"/>
          <w:szCs w:val="20"/>
        </w:rPr>
      </w:pPr>
      <w:r w:rsidRPr="00886584">
        <w:rPr>
          <w:rFonts w:asciiTheme="minorBidi" w:hAnsiTheme="minorBidi"/>
          <w:sz w:val="20"/>
          <w:szCs w:val="20"/>
        </w:rPr>
        <w:t xml:space="preserve">Other animal studies were concerned with the </w:t>
      </w:r>
      <w:r w:rsidR="00672C4D">
        <w:rPr>
          <w:rFonts w:asciiTheme="minorBidi" w:hAnsiTheme="minorBidi"/>
          <w:sz w:val="20"/>
          <w:szCs w:val="20"/>
        </w:rPr>
        <w:t>therapeutic role of FGF 21 in CH</w:t>
      </w:r>
      <w:r w:rsidRPr="00886584">
        <w:rPr>
          <w:rFonts w:asciiTheme="minorBidi" w:hAnsiTheme="minorBidi"/>
          <w:sz w:val="20"/>
          <w:szCs w:val="20"/>
        </w:rPr>
        <w:t>D that may be related to cardio-protective effect, through decreasing lipid metabolism in the cardiomyosites and prevention of o</w:t>
      </w:r>
      <w:r w:rsidR="00E56E37">
        <w:rPr>
          <w:rFonts w:asciiTheme="minorBidi" w:hAnsiTheme="minorBidi"/>
          <w:sz w:val="20"/>
          <w:szCs w:val="20"/>
        </w:rPr>
        <w:t xml:space="preserve">xidative stress and apoptosis by increasing other antioxidants like glutathione and superoxide dismutase. </w:t>
      </w:r>
      <w:r w:rsidR="005A083F" w:rsidRPr="00965961">
        <w:rPr>
          <w:rFonts w:asciiTheme="minorBidi" w:hAnsiTheme="minorBidi"/>
          <w:sz w:val="20"/>
          <w:szCs w:val="20"/>
        </w:rPr>
        <w:t>[</w:t>
      </w:r>
      <w:r w:rsidR="00AB0E91">
        <w:rPr>
          <w:rFonts w:asciiTheme="minorBidi" w:hAnsiTheme="minorBidi"/>
          <w:sz w:val="20"/>
          <w:szCs w:val="20"/>
        </w:rPr>
        <w:t xml:space="preserve">18, </w:t>
      </w:r>
      <w:r w:rsidR="005A083F">
        <w:rPr>
          <w:rFonts w:asciiTheme="minorBidi" w:hAnsiTheme="minorBidi"/>
          <w:sz w:val="20"/>
          <w:szCs w:val="20"/>
        </w:rPr>
        <w:t>19]</w:t>
      </w:r>
    </w:p>
    <w:p w:rsidR="00A86CFE" w:rsidRPr="00A86CFE" w:rsidRDefault="00E56E37" w:rsidP="00A86CFE">
      <w:pPr>
        <w:autoSpaceDE w:val="0"/>
        <w:autoSpaceDN w:val="0"/>
        <w:bidi w:val="0"/>
        <w:adjustRightInd w:val="0"/>
        <w:spacing w:after="0" w:line="360" w:lineRule="auto"/>
        <w:ind w:firstLine="720"/>
        <w:jc w:val="both"/>
        <w:rPr>
          <w:rFonts w:asciiTheme="minorBidi" w:hAnsiTheme="minorBidi"/>
          <w:sz w:val="20"/>
          <w:szCs w:val="20"/>
        </w:rPr>
      </w:pPr>
      <w:r>
        <w:rPr>
          <w:rFonts w:asciiTheme="minorBidi" w:hAnsiTheme="minorBidi"/>
          <w:sz w:val="20"/>
          <w:szCs w:val="20"/>
        </w:rPr>
        <w:t xml:space="preserve"> </w:t>
      </w:r>
    </w:p>
    <w:p w:rsidR="0033585F" w:rsidRPr="000E008C" w:rsidRDefault="0033585F" w:rsidP="003F4D5C">
      <w:pPr>
        <w:autoSpaceDE w:val="0"/>
        <w:autoSpaceDN w:val="0"/>
        <w:bidi w:val="0"/>
        <w:adjustRightInd w:val="0"/>
        <w:spacing w:after="0" w:line="360" w:lineRule="auto"/>
        <w:ind w:firstLine="720"/>
        <w:jc w:val="both"/>
        <w:rPr>
          <w:rFonts w:ascii="Arial" w:hAnsi="Arial" w:cs="Arial"/>
          <w:sz w:val="20"/>
          <w:szCs w:val="20"/>
        </w:rPr>
      </w:pPr>
      <w:r w:rsidRPr="000E008C">
        <w:rPr>
          <w:rFonts w:ascii="Arial" w:hAnsi="Arial" w:cs="Arial"/>
          <w:sz w:val="20"/>
          <w:szCs w:val="20"/>
        </w:rPr>
        <w:t>The present study investigated the associations between serum</w:t>
      </w:r>
      <w:r w:rsidR="009662BD" w:rsidRPr="000E008C">
        <w:rPr>
          <w:rFonts w:ascii="Arial" w:hAnsi="Arial" w:cs="Arial"/>
          <w:sz w:val="20"/>
          <w:szCs w:val="20"/>
        </w:rPr>
        <w:t xml:space="preserve"> levels of</w:t>
      </w:r>
      <w:r w:rsidRPr="000E008C">
        <w:rPr>
          <w:rFonts w:ascii="Arial" w:hAnsi="Arial" w:cs="Arial"/>
          <w:sz w:val="20"/>
          <w:szCs w:val="20"/>
        </w:rPr>
        <w:t xml:space="preserve"> FGF-21 in CHD subjects strictly matched for BMI. It also investigated the possible association between serum FGF21 and the coronary angiographic findings in terms of number of coronary vessels affected. Associations between serum FGF21, in CHD individuals, with diabetes, hypertension, or both were also addressed.</w:t>
      </w:r>
    </w:p>
    <w:p w:rsidR="0033585F" w:rsidRPr="000E008C" w:rsidRDefault="0033585F" w:rsidP="0033585F">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The present results illu</w:t>
      </w:r>
      <w:r w:rsidR="009F7B0E" w:rsidRPr="000E008C">
        <w:rPr>
          <w:rFonts w:ascii="Arial" w:hAnsi="Arial" w:cs="Arial"/>
          <w:sz w:val="20"/>
          <w:szCs w:val="20"/>
        </w:rPr>
        <w:t>strated an increase in the mea</w:t>
      </w:r>
      <w:r w:rsidRPr="000E008C">
        <w:rPr>
          <w:rFonts w:ascii="Arial" w:hAnsi="Arial" w:cs="Arial"/>
          <w:sz w:val="20"/>
          <w:szCs w:val="20"/>
        </w:rPr>
        <w:t xml:space="preserve">n levels of serum FGF-21 in CHD patients versus the control group. There was a highly significant positive correlation between serum levels of FGF-21 and each of BMI (r=0.7, p </w:t>
      </w:r>
      <w:r w:rsidRPr="000E008C">
        <w:rPr>
          <w:rFonts w:ascii="Arial" w:hAnsi="Arial" w:cs="Arial"/>
          <w:sz w:val="20"/>
          <w:szCs w:val="20"/>
          <w:rtl/>
        </w:rPr>
        <w:t>&gt;</w:t>
      </w:r>
      <w:r w:rsidRPr="000E008C">
        <w:rPr>
          <w:rFonts w:ascii="Arial" w:hAnsi="Arial" w:cs="Arial"/>
          <w:sz w:val="20"/>
          <w:szCs w:val="20"/>
        </w:rPr>
        <w:t xml:space="preserve"> 0.001), SBP(r=0.63, p </w:t>
      </w:r>
      <w:r w:rsidRPr="000E008C">
        <w:rPr>
          <w:rFonts w:ascii="Arial" w:hAnsi="Arial" w:cs="Arial"/>
          <w:sz w:val="20"/>
          <w:szCs w:val="20"/>
          <w:rtl/>
        </w:rPr>
        <w:t>&gt;</w:t>
      </w:r>
      <w:r w:rsidRPr="000E008C">
        <w:rPr>
          <w:rFonts w:ascii="Arial" w:hAnsi="Arial" w:cs="Arial"/>
          <w:sz w:val="20"/>
          <w:szCs w:val="20"/>
        </w:rPr>
        <w:t xml:space="preserve"> 0.001), and DBP (r=0.67, p </w:t>
      </w:r>
      <w:r w:rsidRPr="000E008C">
        <w:rPr>
          <w:rFonts w:ascii="Arial" w:hAnsi="Arial" w:cs="Arial"/>
          <w:sz w:val="20"/>
          <w:szCs w:val="20"/>
          <w:rtl/>
        </w:rPr>
        <w:t>&gt;</w:t>
      </w:r>
      <w:r w:rsidRPr="000E008C">
        <w:rPr>
          <w:rFonts w:ascii="Arial" w:hAnsi="Arial" w:cs="Arial"/>
          <w:sz w:val="20"/>
          <w:szCs w:val="20"/>
        </w:rPr>
        <w:t xml:space="preserve"> </w:t>
      </w:r>
      <w:r w:rsidRPr="000E008C">
        <w:rPr>
          <w:rFonts w:ascii="Arial" w:hAnsi="Arial" w:cs="Arial"/>
          <w:sz w:val="20"/>
          <w:szCs w:val="20"/>
        </w:rPr>
        <w:lastRenderedPageBreak/>
        <w:t xml:space="preserve">0.001). A weakly significant positive correlation was also found between serum levels of FGF-21 and each of TAG (r=0.223, p </w:t>
      </w:r>
      <w:r w:rsidRPr="000E008C">
        <w:rPr>
          <w:rFonts w:ascii="Arial" w:hAnsi="Arial" w:cs="Arial"/>
          <w:sz w:val="20"/>
          <w:szCs w:val="20"/>
          <w:rtl/>
        </w:rPr>
        <w:t>&gt;</w:t>
      </w:r>
      <w:r w:rsidRPr="000E008C">
        <w:rPr>
          <w:rFonts w:ascii="Arial" w:hAnsi="Arial" w:cs="Arial"/>
          <w:sz w:val="20"/>
          <w:szCs w:val="20"/>
        </w:rPr>
        <w:t xml:space="preserve"> 0.05) and serum levels of LDL-c (r=0.223, p </w:t>
      </w:r>
      <w:r w:rsidRPr="000E008C">
        <w:rPr>
          <w:rFonts w:ascii="Arial" w:hAnsi="Arial" w:cs="Arial"/>
          <w:sz w:val="20"/>
          <w:szCs w:val="20"/>
          <w:rtl/>
        </w:rPr>
        <w:t>&gt;</w:t>
      </w:r>
      <w:r w:rsidRPr="000E008C">
        <w:rPr>
          <w:rFonts w:ascii="Arial" w:hAnsi="Arial" w:cs="Arial"/>
          <w:sz w:val="20"/>
          <w:szCs w:val="20"/>
        </w:rPr>
        <w:t xml:space="preserve"> 0.05). A weakly significant negative correlation was also found between serum levels of FGF-21 and serum levels of HDL-c (r=0.23, p </w:t>
      </w:r>
      <w:r w:rsidRPr="000E008C">
        <w:rPr>
          <w:rFonts w:ascii="Arial" w:hAnsi="Arial" w:cs="Arial"/>
          <w:sz w:val="20"/>
          <w:szCs w:val="20"/>
          <w:rtl/>
        </w:rPr>
        <w:t>&gt;</w:t>
      </w:r>
      <w:r w:rsidRPr="000E008C">
        <w:rPr>
          <w:rFonts w:ascii="Arial" w:hAnsi="Arial" w:cs="Arial"/>
          <w:sz w:val="20"/>
          <w:szCs w:val="20"/>
        </w:rPr>
        <w:t xml:space="preserve"> 0.05).</w:t>
      </w:r>
    </w:p>
    <w:p w:rsidR="00AB0E91" w:rsidRDefault="0033585F" w:rsidP="00AB0E91">
      <w:pPr>
        <w:autoSpaceDE w:val="0"/>
        <w:autoSpaceDN w:val="0"/>
        <w:bidi w:val="0"/>
        <w:adjustRightInd w:val="0"/>
        <w:spacing w:after="0" w:line="360" w:lineRule="auto"/>
        <w:ind w:firstLine="720"/>
        <w:jc w:val="both"/>
        <w:rPr>
          <w:rFonts w:asciiTheme="minorBidi" w:hAnsiTheme="minorBidi"/>
          <w:sz w:val="20"/>
          <w:szCs w:val="20"/>
        </w:rPr>
      </w:pPr>
      <w:r w:rsidRPr="000E008C">
        <w:rPr>
          <w:rFonts w:ascii="Arial" w:hAnsi="Arial" w:cs="Arial"/>
          <w:sz w:val="20"/>
          <w:szCs w:val="20"/>
        </w:rPr>
        <w:t>In accordance to these results, a previous study done by Lin et al. showed that FGF-21 levels are 3-fold higher in CAD individuals, but they didn’t describe FGF21 level in CHD in terms of severity</w:t>
      </w:r>
      <w:r w:rsidR="00AE53E1" w:rsidRPr="000E008C">
        <w:rPr>
          <w:rFonts w:ascii="Arial" w:hAnsi="Arial" w:cs="Arial"/>
          <w:sz w:val="20"/>
          <w:szCs w:val="20"/>
        </w:rPr>
        <w:t xml:space="preserve"> </w:t>
      </w:r>
      <w:r w:rsidR="00AB0E91" w:rsidRPr="00965961">
        <w:rPr>
          <w:rFonts w:asciiTheme="minorBidi" w:hAnsiTheme="minorBidi"/>
          <w:sz w:val="20"/>
          <w:szCs w:val="20"/>
        </w:rPr>
        <w:t>[</w:t>
      </w:r>
      <w:r w:rsidR="00AB0E91">
        <w:rPr>
          <w:rFonts w:asciiTheme="minorBidi" w:hAnsiTheme="minorBidi"/>
          <w:sz w:val="20"/>
          <w:szCs w:val="20"/>
        </w:rPr>
        <w:t>5].</w:t>
      </w:r>
    </w:p>
    <w:p w:rsidR="0033585F" w:rsidRPr="00AB0E91" w:rsidRDefault="0033585F" w:rsidP="00AB0E91">
      <w:pPr>
        <w:autoSpaceDE w:val="0"/>
        <w:autoSpaceDN w:val="0"/>
        <w:bidi w:val="0"/>
        <w:adjustRightInd w:val="0"/>
        <w:spacing w:after="0" w:line="360" w:lineRule="auto"/>
        <w:ind w:firstLine="720"/>
        <w:jc w:val="both"/>
        <w:rPr>
          <w:rFonts w:asciiTheme="minorBidi" w:hAnsiTheme="minorBidi"/>
          <w:sz w:val="20"/>
          <w:szCs w:val="20"/>
        </w:rPr>
      </w:pPr>
      <w:r w:rsidRPr="000E008C">
        <w:rPr>
          <w:rFonts w:ascii="Arial" w:hAnsi="Arial" w:cs="Arial"/>
          <w:sz w:val="20"/>
          <w:szCs w:val="20"/>
        </w:rPr>
        <w:t xml:space="preserve"> The present study investigated the possible association between serum FGF21 and the coronary angiographic findings in terms of number of coronary vessels affected (&gt; </w:t>
      </w:r>
      <w:r w:rsidR="001B6163" w:rsidRPr="000E008C">
        <w:rPr>
          <w:rFonts w:ascii="Arial" w:hAnsi="Arial" w:cs="Arial"/>
          <w:sz w:val="20"/>
          <w:szCs w:val="20"/>
        </w:rPr>
        <w:t>5</w:t>
      </w:r>
      <w:r w:rsidRPr="000E008C">
        <w:rPr>
          <w:rFonts w:ascii="Arial" w:hAnsi="Arial" w:cs="Arial"/>
          <w:sz w:val="20"/>
          <w:szCs w:val="20"/>
        </w:rPr>
        <w:t>0% stenosed). A s</w:t>
      </w:r>
      <w:r w:rsidR="003D28F2">
        <w:rPr>
          <w:rFonts w:ascii="Arial" w:hAnsi="Arial" w:cs="Arial"/>
          <w:sz w:val="20"/>
          <w:szCs w:val="20"/>
        </w:rPr>
        <w:t>ignificant increase in the mea</w:t>
      </w:r>
      <w:r w:rsidRPr="000E008C">
        <w:rPr>
          <w:rFonts w:ascii="Arial" w:hAnsi="Arial" w:cs="Arial"/>
          <w:sz w:val="20"/>
          <w:szCs w:val="20"/>
        </w:rPr>
        <w:t>n levels of FGF-21 was detected in CHD patients with two vessel and multi-vessel affection compared to the control group and the one-vessel affecting group. These results indicate that serum levels of FGF-21 increase with the severity of the CHD condition. It is to be noted that the serum levels of FGf-21 correlated positively with SBP, DBP, serum levels of TAG and LDL-c and negatively with serum levels of HDL-c. All the fore-mentioned parameters are risk factors for CHD and may confound the relationships between FGF 21</w:t>
      </w:r>
      <w:r w:rsidR="00D97922" w:rsidRPr="000E008C">
        <w:rPr>
          <w:rFonts w:ascii="Arial" w:hAnsi="Arial" w:cs="Arial"/>
          <w:sz w:val="20"/>
          <w:szCs w:val="20"/>
        </w:rPr>
        <w:t xml:space="preserve"> </w:t>
      </w:r>
      <w:r w:rsidRPr="000E008C">
        <w:rPr>
          <w:rFonts w:ascii="Arial" w:hAnsi="Arial" w:cs="Arial"/>
          <w:sz w:val="20"/>
          <w:szCs w:val="20"/>
        </w:rPr>
        <w:t xml:space="preserve">and cardiovascular disease. Multi–variate logistic regression analysis revealed that the SBP was an independent risk factor for CHD.   </w:t>
      </w:r>
    </w:p>
    <w:p w:rsidR="001B6163" w:rsidRPr="00AB0E91" w:rsidRDefault="0033585F" w:rsidP="00AB0E91">
      <w:pPr>
        <w:autoSpaceDE w:val="0"/>
        <w:autoSpaceDN w:val="0"/>
        <w:bidi w:val="0"/>
        <w:adjustRightInd w:val="0"/>
        <w:spacing w:after="0" w:line="360" w:lineRule="auto"/>
        <w:ind w:firstLine="720"/>
        <w:jc w:val="both"/>
        <w:rPr>
          <w:rFonts w:asciiTheme="minorBidi" w:hAnsiTheme="minorBidi"/>
          <w:sz w:val="20"/>
          <w:szCs w:val="20"/>
        </w:rPr>
      </w:pPr>
      <w:r w:rsidRPr="000E008C">
        <w:rPr>
          <w:rFonts w:ascii="Arial" w:hAnsi="Arial" w:cs="Arial"/>
          <w:sz w:val="20"/>
          <w:szCs w:val="20"/>
        </w:rPr>
        <w:t>In accordance with the present results, Semba et al. reported for the first time that elevated serum FGF-21 levels were associated with hypertension after adjustments with multiple explanatory variables in a community cohort. An inclusion of triglyceride levels as an explanatory variable substantially weakened the strength of association between the FGF-21 levels and hypertension</w:t>
      </w:r>
      <w:r w:rsidR="00AE53E1" w:rsidRPr="000E008C">
        <w:rPr>
          <w:rFonts w:ascii="Arial" w:hAnsi="Arial" w:cs="Arial"/>
          <w:sz w:val="20"/>
          <w:szCs w:val="20"/>
        </w:rPr>
        <w:t xml:space="preserve"> </w:t>
      </w:r>
      <w:r w:rsidR="00AB0E91" w:rsidRPr="00965961">
        <w:rPr>
          <w:rFonts w:asciiTheme="minorBidi" w:hAnsiTheme="minorBidi"/>
          <w:sz w:val="20"/>
          <w:szCs w:val="20"/>
        </w:rPr>
        <w:t>[</w:t>
      </w:r>
      <w:r w:rsidR="00AB0E91">
        <w:rPr>
          <w:rFonts w:asciiTheme="minorBidi" w:hAnsiTheme="minorBidi"/>
          <w:sz w:val="20"/>
          <w:szCs w:val="20"/>
        </w:rPr>
        <w:t xml:space="preserve">20]. </w:t>
      </w:r>
      <w:r w:rsidRPr="000E008C">
        <w:rPr>
          <w:rFonts w:ascii="Arial" w:hAnsi="Arial" w:cs="Arial"/>
          <w:sz w:val="20"/>
          <w:szCs w:val="20"/>
        </w:rPr>
        <w:t>In a previous report, Eto et al.</w:t>
      </w:r>
      <w:r w:rsidR="00AE53E1" w:rsidRPr="000E008C">
        <w:rPr>
          <w:rFonts w:ascii="Arial" w:hAnsi="Arial" w:cs="Arial"/>
          <w:sz w:val="20"/>
          <w:szCs w:val="20"/>
        </w:rPr>
        <w:t xml:space="preserve"> postulated that </w:t>
      </w:r>
      <w:r w:rsidRPr="000E008C">
        <w:rPr>
          <w:rFonts w:ascii="Arial" w:hAnsi="Arial" w:cs="Arial"/>
          <w:sz w:val="20"/>
          <w:szCs w:val="20"/>
        </w:rPr>
        <w:t>elevated FGF-21 levels were also associated with higher systolic blood pressure in type 2 d</w:t>
      </w:r>
      <w:r w:rsidR="00950644" w:rsidRPr="000E008C">
        <w:rPr>
          <w:rFonts w:ascii="Arial" w:hAnsi="Arial" w:cs="Arial"/>
          <w:sz w:val="20"/>
          <w:szCs w:val="20"/>
        </w:rPr>
        <w:t>iabetic patients in a univariate</w:t>
      </w:r>
      <w:r w:rsidRPr="000E008C">
        <w:rPr>
          <w:rFonts w:ascii="Arial" w:hAnsi="Arial" w:cs="Arial"/>
          <w:sz w:val="20"/>
          <w:szCs w:val="20"/>
        </w:rPr>
        <w:t xml:space="preserve"> analysis</w:t>
      </w:r>
      <w:r w:rsidR="00AE53E1" w:rsidRPr="000E008C">
        <w:rPr>
          <w:rFonts w:ascii="Arial" w:hAnsi="Arial" w:cs="Arial"/>
          <w:sz w:val="20"/>
          <w:szCs w:val="20"/>
        </w:rPr>
        <w:t xml:space="preserve"> </w:t>
      </w:r>
      <w:r w:rsidR="00AB0E91" w:rsidRPr="00965961">
        <w:rPr>
          <w:rFonts w:asciiTheme="minorBidi" w:hAnsiTheme="minorBidi"/>
          <w:sz w:val="20"/>
          <w:szCs w:val="20"/>
        </w:rPr>
        <w:t>[</w:t>
      </w:r>
      <w:r w:rsidR="00AB0E91">
        <w:rPr>
          <w:rFonts w:asciiTheme="minorBidi" w:hAnsiTheme="minorBidi"/>
          <w:sz w:val="20"/>
          <w:szCs w:val="20"/>
        </w:rPr>
        <w:t>21].</w:t>
      </w:r>
    </w:p>
    <w:p w:rsidR="0033585F" w:rsidRPr="00AB0E91" w:rsidRDefault="0033585F" w:rsidP="00AB0E91">
      <w:pPr>
        <w:autoSpaceDE w:val="0"/>
        <w:autoSpaceDN w:val="0"/>
        <w:bidi w:val="0"/>
        <w:adjustRightInd w:val="0"/>
        <w:spacing w:after="0" w:line="360" w:lineRule="auto"/>
        <w:ind w:firstLine="720"/>
        <w:jc w:val="both"/>
        <w:rPr>
          <w:rFonts w:asciiTheme="minorBidi" w:hAnsiTheme="minorBidi"/>
          <w:sz w:val="20"/>
          <w:szCs w:val="20"/>
        </w:rPr>
      </w:pPr>
      <w:r w:rsidRPr="000E008C">
        <w:rPr>
          <w:rFonts w:ascii="Arial" w:hAnsi="Arial" w:cs="Arial"/>
          <w:sz w:val="20"/>
          <w:szCs w:val="20"/>
        </w:rPr>
        <w:t xml:space="preserve">Logistic regression analysis demonstrated that FGF-21 showed an independent association with triglyceride and apolipoprotein A1. Apolipoprotein A1 is the major protein component of the high-density lipoprotein (HDL) particles, which promotes cholesterol efflux from tissues to the liver for excretion. Studies have shown inverse associations between apoA1 levels and CHD </w:t>
      </w:r>
      <w:r w:rsidR="00AB0E91" w:rsidRPr="00965961">
        <w:rPr>
          <w:rFonts w:asciiTheme="minorBidi" w:hAnsiTheme="minorBidi"/>
          <w:sz w:val="20"/>
          <w:szCs w:val="20"/>
        </w:rPr>
        <w:t>[</w:t>
      </w:r>
      <w:r w:rsidR="00AB0E91">
        <w:rPr>
          <w:rFonts w:asciiTheme="minorBidi" w:hAnsiTheme="minorBidi"/>
          <w:sz w:val="20"/>
          <w:szCs w:val="20"/>
        </w:rPr>
        <w:t xml:space="preserve">22]. </w:t>
      </w:r>
      <w:r w:rsidRPr="000E008C">
        <w:rPr>
          <w:rFonts w:ascii="Arial" w:hAnsi="Arial" w:cs="Arial"/>
          <w:sz w:val="20"/>
          <w:szCs w:val="20"/>
        </w:rPr>
        <w:t xml:space="preserve">Direct administration of recombinant FGF21 has alleviated dyslipidemia in ob/ob and db/db mice and diabetic monkeys </w:t>
      </w:r>
      <w:r w:rsidR="00AB0E91" w:rsidRPr="00965961">
        <w:rPr>
          <w:rFonts w:asciiTheme="minorBidi" w:hAnsiTheme="minorBidi"/>
          <w:sz w:val="20"/>
          <w:szCs w:val="20"/>
        </w:rPr>
        <w:t>[</w:t>
      </w:r>
      <w:r w:rsidR="00AB0E91">
        <w:rPr>
          <w:rFonts w:asciiTheme="minorBidi" w:hAnsiTheme="minorBidi"/>
          <w:sz w:val="20"/>
          <w:szCs w:val="20"/>
        </w:rPr>
        <w:t>23, 24].</w:t>
      </w:r>
    </w:p>
    <w:p w:rsidR="0025772B" w:rsidRDefault="0033585F" w:rsidP="0025772B">
      <w:pPr>
        <w:autoSpaceDE w:val="0"/>
        <w:autoSpaceDN w:val="0"/>
        <w:bidi w:val="0"/>
        <w:adjustRightInd w:val="0"/>
        <w:spacing w:after="0" w:line="360" w:lineRule="auto"/>
        <w:ind w:firstLine="720"/>
        <w:jc w:val="both"/>
        <w:rPr>
          <w:rFonts w:asciiTheme="minorBidi" w:hAnsiTheme="minorBidi"/>
          <w:sz w:val="20"/>
          <w:szCs w:val="20"/>
        </w:rPr>
      </w:pPr>
      <w:r w:rsidRPr="000E008C">
        <w:rPr>
          <w:rFonts w:ascii="Arial" w:hAnsi="Arial" w:cs="Arial"/>
          <w:sz w:val="20"/>
          <w:szCs w:val="20"/>
        </w:rPr>
        <w:t xml:space="preserve">Consistent with our findings, a study showed a 2-fold increase of serum FGF21 in hypertriglyceridemic non-diabetic patients </w:t>
      </w:r>
      <w:r w:rsidR="0025772B" w:rsidRPr="00965961">
        <w:rPr>
          <w:rFonts w:asciiTheme="minorBidi" w:hAnsiTheme="minorBidi"/>
          <w:sz w:val="20"/>
          <w:szCs w:val="20"/>
        </w:rPr>
        <w:t>[</w:t>
      </w:r>
      <w:r w:rsidR="0025772B">
        <w:rPr>
          <w:rFonts w:asciiTheme="minorBidi" w:hAnsiTheme="minorBidi"/>
          <w:sz w:val="20"/>
          <w:szCs w:val="20"/>
        </w:rPr>
        <w:t>25].</w:t>
      </w:r>
    </w:p>
    <w:p w:rsidR="00554FEC" w:rsidRDefault="0033585F" w:rsidP="00554FEC">
      <w:pPr>
        <w:autoSpaceDE w:val="0"/>
        <w:autoSpaceDN w:val="0"/>
        <w:bidi w:val="0"/>
        <w:adjustRightInd w:val="0"/>
        <w:spacing w:after="0" w:line="360" w:lineRule="auto"/>
        <w:ind w:firstLine="720"/>
        <w:jc w:val="both"/>
        <w:rPr>
          <w:rFonts w:asciiTheme="minorBidi" w:hAnsiTheme="minorBidi"/>
          <w:sz w:val="20"/>
          <w:szCs w:val="20"/>
        </w:rPr>
      </w:pPr>
      <w:r w:rsidRPr="000E008C">
        <w:rPr>
          <w:rFonts w:ascii="Arial" w:hAnsi="Arial" w:cs="Arial"/>
          <w:sz w:val="20"/>
          <w:szCs w:val="20"/>
        </w:rPr>
        <w:t xml:space="preserve">In vitro studies have shown that the over expression of FGF-21 suppressed triglyceride accumulation by inhibiting de novo lipogenesis </w:t>
      </w:r>
      <w:r w:rsidR="0025772B" w:rsidRPr="00965961">
        <w:rPr>
          <w:rFonts w:asciiTheme="minorBidi" w:hAnsiTheme="minorBidi"/>
          <w:sz w:val="20"/>
          <w:szCs w:val="20"/>
        </w:rPr>
        <w:t>[</w:t>
      </w:r>
      <w:r w:rsidR="0025772B">
        <w:rPr>
          <w:rFonts w:asciiTheme="minorBidi" w:hAnsiTheme="minorBidi"/>
          <w:sz w:val="20"/>
          <w:szCs w:val="20"/>
        </w:rPr>
        <w:t xml:space="preserve">26], </w:t>
      </w:r>
      <w:r w:rsidR="006E03C7">
        <w:rPr>
          <w:rFonts w:ascii="Arial" w:hAnsi="Arial" w:cs="Arial"/>
          <w:sz w:val="20"/>
          <w:szCs w:val="20"/>
        </w:rPr>
        <w:t>a</w:t>
      </w:r>
      <w:r w:rsidRPr="000E008C">
        <w:rPr>
          <w:rFonts w:ascii="Arial" w:hAnsi="Arial" w:cs="Arial"/>
          <w:sz w:val="20"/>
          <w:szCs w:val="20"/>
        </w:rPr>
        <w:t>nd interference with FGF-21 lead to dyslipidemia associated with the lower expression of enzymes r</w:t>
      </w:r>
      <w:r w:rsidR="0025772B">
        <w:rPr>
          <w:rFonts w:ascii="Arial" w:hAnsi="Arial" w:cs="Arial"/>
          <w:sz w:val="20"/>
          <w:szCs w:val="20"/>
        </w:rPr>
        <w:t xml:space="preserve">elated to fatty acid oxidation </w:t>
      </w:r>
      <w:r w:rsidR="0025772B" w:rsidRPr="00965961">
        <w:rPr>
          <w:rFonts w:asciiTheme="minorBidi" w:hAnsiTheme="minorBidi"/>
          <w:sz w:val="20"/>
          <w:szCs w:val="20"/>
        </w:rPr>
        <w:t>[</w:t>
      </w:r>
      <w:r w:rsidR="0025772B">
        <w:rPr>
          <w:rFonts w:asciiTheme="minorBidi" w:hAnsiTheme="minorBidi"/>
          <w:sz w:val="20"/>
          <w:szCs w:val="20"/>
        </w:rPr>
        <w:t>27]</w:t>
      </w:r>
      <w:r w:rsidRPr="000E008C">
        <w:rPr>
          <w:rFonts w:ascii="Arial" w:hAnsi="Arial" w:cs="Arial"/>
          <w:sz w:val="20"/>
          <w:szCs w:val="20"/>
        </w:rPr>
        <w:t>. The elevation of FGF21 levels in patients showing high cardiometabolic risk can be viewed as a compensatory mecha</w:t>
      </w:r>
      <w:r w:rsidR="00086E8C">
        <w:rPr>
          <w:rFonts w:ascii="Arial" w:hAnsi="Arial" w:cs="Arial"/>
          <w:sz w:val="20"/>
          <w:szCs w:val="20"/>
        </w:rPr>
        <w:t xml:space="preserve">nism </w:t>
      </w:r>
      <w:r w:rsidR="00086E8C" w:rsidRPr="00965961">
        <w:rPr>
          <w:rFonts w:asciiTheme="minorBidi" w:hAnsiTheme="minorBidi"/>
          <w:sz w:val="20"/>
          <w:szCs w:val="20"/>
        </w:rPr>
        <w:t>[</w:t>
      </w:r>
      <w:r w:rsidR="00086E8C">
        <w:rPr>
          <w:rFonts w:asciiTheme="minorBidi" w:hAnsiTheme="minorBidi"/>
          <w:sz w:val="20"/>
          <w:szCs w:val="20"/>
        </w:rPr>
        <w:t>23]</w:t>
      </w:r>
      <w:r w:rsidRPr="000E008C">
        <w:rPr>
          <w:rFonts w:ascii="Arial" w:hAnsi="Arial" w:cs="Arial"/>
          <w:sz w:val="20"/>
          <w:szCs w:val="20"/>
        </w:rPr>
        <w:t>, or as indicative of an FGF21-resistant state. The latter interpretation is supported by a study of the short-term effects of exogenous FG</w:t>
      </w:r>
      <w:r w:rsidR="00554FEC">
        <w:rPr>
          <w:rFonts w:ascii="Arial" w:hAnsi="Arial" w:cs="Arial"/>
          <w:sz w:val="20"/>
          <w:szCs w:val="20"/>
        </w:rPr>
        <w:t xml:space="preserve">F21 on diet-induced obese mice </w:t>
      </w:r>
      <w:r w:rsidR="00554FEC" w:rsidRPr="00965961">
        <w:rPr>
          <w:rFonts w:asciiTheme="minorBidi" w:hAnsiTheme="minorBidi"/>
          <w:sz w:val="20"/>
          <w:szCs w:val="20"/>
        </w:rPr>
        <w:t>[</w:t>
      </w:r>
      <w:r w:rsidR="00554FEC">
        <w:rPr>
          <w:rFonts w:asciiTheme="minorBidi" w:hAnsiTheme="minorBidi"/>
          <w:sz w:val="20"/>
          <w:szCs w:val="20"/>
        </w:rPr>
        <w:t xml:space="preserve">28]. </w:t>
      </w:r>
    </w:p>
    <w:p w:rsidR="0025772B" w:rsidRDefault="0033585F" w:rsidP="00554FEC">
      <w:pPr>
        <w:autoSpaceDE w:val="0"/>
        <w:autoSpaceDN w:val="0"/>
        <w:bidi w:val="0"/>
        <w:adjustRightInd w:val="0"/>
        <w:spacing w:after="0" w:line="360" w:lineRule="auto"/>
        <w:ind w:firstLine="720"/>
        <w:jc w:val="both"/>
        <w:rPr>
          <w:rFonts w:asciiTheme="minorBidi" w:hAnsiTheme="minorBidi"/>
          <w:sz w:val="20"/>
          <w:szCs w:val="20"/>
        </w:rPr>
      </w:pPr>
      <w:r w:rsidRPr="000E008C">
        <w:rPr>
          <w:rFonts w:ascii="Arial" w:hAnsi="Arial" w:cs="Arial"/>
          <w:sz w:val="20"/>
          <w:szCs w:val="20"/>
        </w:rPr>
        <w:lastRenderedPageBreak/>
        <w:t>Lee et al. also reported that FGF21 levels correlate strongly with elevated triglycerides, and with ectopic fat accumulation, including pericardial fat, independent of the coronary artery status</w:t>
      </w:r>
      <w:r w:rsidR="006259D0" w:rsidRPr="000E008C">
        <w:rPr>
          <w:rFonts w:ascii="Arial" w:hAnsi="Arial" w:cs="Arial"/>
          <w:sz w:val="20"/>
          <w:szCs w:val="20"/>
        </w:rPr>
        <w:t xml:space="preserve"> </w:t>
      </w:r>
      <w:r w:rsidR="0025772B" w:rsidRPr="00965961">
        <w:rPr>
          <w:rFonts w:asciiTheme="minorBidi" w:hAnsiTheme="minorBidi"/>
          <w:sz w:val="20"/>
          <w:szCs w:val="20"/>
        </w:rPr>
        <w:t>[</w:t>
      </w:r>
      <w:r w:rsidR="0025772B">
        <w:rPr>
          <w:rFonts w:asciiTheme="minorBidi" w:hAnsiTheme="minorBidi"/>
          <w:sz w:val="20"/>
          <w:szCs w:val="20"/>
        </w:rPr>
        <w:t>6].</w:t>
      </w:r>
    </w:p>
    <w:p w:rsidR="0033585F" w:rsidRPr="000E008C" w:rsidRDefault="0033585F" w:rsidP="0025772B">
      <w:pPr>
        <w:autoSpaceDE w:val="0"/>
        <w:autoSpaceDN w:val="0"/>
        <w:bidi w:val="0"/>
        <w:adjustRightInd w:val="0"/>
        <w:spacing w:after="0" w:line="360" w:lineRule="auto"/>
        <w:jc w:val="both"/>
        <w:rPr>
          <w:rFonts w:ascii="Arial" w:hAnsi="Arial" w:cs="Arial"/>
          <w:sz w:val="20"/>
          <w:szCs w:val="20"/>
        </w:rPr>
      </w:pPr>
    </w:p>
    <w:p w:rsidR="0033585F" w:rsidRPr="000E008C" w:rsidRDefault="0033585F" w:rsidP="00D754E6">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 xml:space="preserve">A progressive increase in serum FGF21 levels was also observed when an increasing number of components of the metabolic syndrome were found. More importantly, serum FGF21 was shown to be independently associated with the metabolic syndrome. This result suggests that serum FGF21 can be potentially used as a biochemical parameter for risk stratification of the metabolic syndrome. However, it is worthy to note that the association of serum FGF21 with the metabolic syndrome is not as strong as that of other biomarkers such as fasting insulin and C-peptide </w:t>
      </w:r>
      <w:r w:rsidR="00D754E6" w:rsidRPr="00965961">
        <w:rPr>
          <w:rFonts w:asciiTheme="minorBidi" w:hAnsiTheme="minorBidi"/>
          <w:sz w:val="20"/>
          <w:szCs w:val="20"/>
        </w:rPr>
        <w:t>[</w:t>
      </w:r>
      <w:r w:rsidR="00D754E6">
        <w:rPr>
          <w:rFonts w:asciiTheme="minorBidi" w:hAnsiTheme="minorBidi"/>
          <w:sz w:val="20"/>
          <w:szCs w:val="20"/>
        </w:rPr>
        <w:t>2].</w:t>
      </w:r>
      <w:r w:rsidR="00D754E6">
        <w:rPr>
          <w:rFonts w:ascii="Arial" w:hAnsi="Arial" w:cs="Arial"/>
          <w:sz w:val="20"/>
          <w:szCs w:val="20"/>
        </w:rPr>
        <w:t xml:space="preserve"> </w:t>
      </w:r>
      <w:r w:rsidRPr="000E008C">
        <w:rPr>
          <w:rFonts w:ascii="Arial" w:hAnsi="Arial" w:cs="Arial"/>
          <w:sz w:val="20"/>
          <w:szCs w:val="20"/>
        </w:rPr>
        <w:t>Further study is needed to evaluate wh</w:t>
      </w:r>
      <w:r w:rsidR="00EF0FAD">
        <w:rPr>
          <w:rFonts w:ascii="Arial" w:hAnsi="Arial" w:cs="Arial"/>
          <w:sz w:val="20"/>
          <w:szCs w:val="20"/>
        </w:rPr>
        <w:t xml:space="preserve">ether serum FGF21 has any </w:t>
      </w:r>
      <w:r w:rsidRPr="000E008C">
        <w:rPr>
          <w:rFonts w:ascii="Arial" w:hAnsi="Arial" w:cs="Arial"/>
          <w:sz w:val="20"/>
          <w:szCs w:val="20"/>
        </w:rPr>
        <w:t>additive</w:t>
      </w:r>
      <w:r w:rsidR="00EF0FAD">
        <w:rPr>
          <w:rFonts w:ascii="Arial" w:hAnsi="Arial" w:cs="Arial"/>
          <w:sz w:val="20"/>
          <w:szCs w:val="20"/>
        </w:rPr>
        <w:t xml:space="preserve"> value</w:t>
      </w:r>
      <w:r w:rsidRPr="000E008C">
        <w:rPr>
          <w:rFonts w:ascii="Arial" w:hAnsi="Arial" w:cs="Arial"/>
          <w:sz w:val="20"/>
          <w:szCs w:val="20"/>
        </w:rPr>
        <w:t xml:space="preserve"> to that of other classical biomarkers and/or risk factors in prediction of the metabolic syndrome.</w:t>
      </w:r>
    </w:p>
    <w:p w:rsidR="0033585F" w:rsidRPr="000E008C" w:rsidRDefault="0033585F" w:rsidP="00965906">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Other studies are in accordance with our results as regards the correlation between serum levels of FGF-21 and any of FBG, insulin, or HOMA-IR. Li et al., (2009) reported that serum levels of FGF21 are closely related to adiposity, lipid metabolism, and biomarkers of liver injury but not insulin secretion and sensitivity in humans</w:t>
      </w:r>
      <w:r w:rsidR="00EF0FAD">
        <w:rPr>
          <w:rFonts w:ascii="Arial" w:hAnsi="Arial" w:cs="Arial"/>
          <w:sz w:val="20"/>
          <w:szCs w:val="20"/>
        </w:rPr>
        <w:t xml:space="preserve"> </w:t>
      </w:r>
      <w:r w:rsidR="00EF0FAD" w:rsidRPr="00965961">
        <w:rPr>
          <w:rFonts w:asciiTheme="minorBidi" w:hAnsiTheme="minorBidi"/>
          <w:sz w:val="20"/>
          <w:szCs w:val="20"/>
        </w:rPr>
        <w:t>[</w:t>
      </w:r>
      <w:r w:rsidR="00EF0FAD">
        <w:rPr>
          <w:rFonts w:asciiTheme="minorBidi" w:hAnsiTheme="minorBidi"/>
          <w:sz w:val="20"/>
          <w:szCs w:val="20"/>
        </w:rPr>
        <w:t>29].</w:t>
      </w:r>
    </w:p>
    <w:p w:rsidR="00EE4E70" w:rsidRPr="000E008C" w:rsidRDefault="0033585F" w:rsidP="00965906">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Also, Matuszek et al, (2010) confirmed that circulating FGF-21 is significantly and positively associated with weight, fasting glucose, and TG, whereas a negative correlat</w:t>
      </w:r>
      <w:r w:rsidR="00EE4E70" w:rsidRPr="000E008C">
        <w:rPr>
          <w:rFonts w:ascii="Arial" w:hAnsi="Arial" w:cs="Arial"/>
          <w:sz w:val="20"/>
          <w:szCs w:val="20"/>
        </w:rPr>
        <w:t>i</w:t>
      </w:r>
      <w:r w:rsidR="00EF0FAD">
        <w:rPr>
          <w:rFonts w:ascii="Arial" w:hAnsi="Arial" w:cs="Arial"/>
          <w:sz w:val="20"/>
          <w:szCs w:val="20"/>
        </w:rPr>
        <w:t xml:space="preserve">on exists with HDL cholesterol </w:t>
      </w:r>
      <w:r w:rsidR="00EF0FAD" w:rsidRPr="00965961">
        <w:rPr>
          <w:rFonts w:asciiTheme="minorBidi" w:hAnsiTheme="minorBidi"/>
          <w:sz w:val="20"/>
          <w:szCs w:val="20"/>
        </w:rPr>
        <w:t>[</w:t>
      </w:r>
      <w:r w:rsidR="00EF0FAD">
        <w:rPr>
          <w:rFonts w:asciiTheme="minorBidi" w:hAnsiTheme="minorBidi"/>
          <w:sz w:val="20"/>
          <w:szCs w:val="20"/>
        </w:rPr>
        <w:t>17].</w:t>
      </w:r>
      <w:r w:rsidRPr="000E008C">
        <w:rPr>
          <w:rFonts w:ascii="Arial" w:hAnsi="Arial" w:cs="Arial"/>
          <w:sz w:val="20"/>
          <w:szCs w:val="20"/>
        </w:rPr>
        <w:t xml:space="preserve"> However, (as in our results) they failed to observe significant associations between markers of insulin resistance such as fasting insulin and HOMA-IR, which has been proven in research by others authors</w:t>
      </w:r>
      <w:r w:rsidR="00333AF0" w:rsidRPr="000E008C">
        <w:rPr>
          <w:rFonts w:ascii="Arial" w:hAnsi="Arial" w:cs="Arial"/>
          <w:sz w:val="20"/>
          <w:szCs w:val="20"/>
        </w:rPr>
        <w:t xml:space="preserve"> </w:t>
      </w:r>
      <w:r w:rsidR="00EF0FAD" w:rsidRPr="00965961">
        <w:rPr>
          <w:rFonts w:asciiTheme="minorBidi" w:hAnsiTheme="minorBidi"/>
          <w:sz w:val="20"/>
          <w:szCs w:val="20"/>
        </w:rPr>
        <w:t>[</w:t>
      </w:r>
      <w:r w:rsidR="00EF0FAD">
        <w:rPr>
          <w:rFonts w:asciiTheme="minorBidi" w:hAnsiTheme="minorBidi"/>
          <w:sz w:val="20"/>
          <w:szCs w:val="20"/>
        </w:rPr>
        <w:t>30]</w:t>
      </w:r>
      <w:r w:rsidRPr="000E008C">
        <w:rPr>
          <w:rFonts w:ascii="Arial" w:hAnsi="Arial" w:cs="Arial"/>
          <w:sz w:val="20"/>
          <w:szCs w:val="20"/>
        </w:rPr>
        <w:t xml:space="preserve">. </w:t>
      </w:r>
    </w:p>
    <w:p w:rsidR="0033585F" w:rsidRPr="000E008C" w:rsidRDefault="0033585F" w:rsidP="0033585F">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 xml:space="preserve">In the present study, ROC curve analysis indicated that the optimum cut off value for plasma FGF 21 level in patients with CAD versus non CAD was 256 which </w:t>
      </w:r>
      <w:r w:rsidR="00950644" w:rsidRPr="000E008C">
        <w:rPr>
          <w:rFonts w:ascii="Arial" w:hAnsi="Arial" w:cs="Arial"/>
          <w:sz w:val="20"/>
          <w:szCs w:val="20"/>
        </w:rPr>
        <w:t>give</w:t>
      </w:r>
      <w:r w:rsidRPr="000E008C">
        <w:rPr>
          <w:rFonts w:ascii="Arial" w:hAnsi="Arial" w:cs="Arial"/>
          <w:sz w:val="20"/>
          <w:szCs w:val="20"/>
        </w:rPr>
        <w:t xml:space="preserve"> 60% sensitivity and 63.64% specificity. This indicates that serum FGF21 may be potentially used as a biomarker of severity of CHD. </w:t>
      </w:r>
    </w:p>
    <w:p w:rsidR="0033585F" w:rsidRPr="000E008C" w:rsidRDefault="00AB50E7" w:rsidP="0033585F">
      <w:pPr>
        <w:autoSpaceDE w:val="0"/>
        <w:autoSpaceDN w:val="0"/>
        <w:bidi w:val="0"/>
        <w:adjustRightInd w:val="0"/>
        <w:spacing w:after="0" w:line="360" w:lineRule="auto"/>
        <w:jc w:val="both"/>
        <w:rPr>
          <w:rFonts w:ascii="Arial" w:hAnsi="Arial" w:cs="Arial"/>
          <w:sz w:val="20"/>
          <w:szCs w:val="20"/>
        </w:rPr>
      </w:pPr>
      <w:r>
        <w:rPr>
          <w:rFonts w:ascii="Arial" w:hAnsi="Arial" w:cs="Arial"/>
          <w:sz w:val="20"/>
          <w:szCs w:val="20"/>
        </w:rPr>
        <w:t>There are some</w:t>
      </w:r>
      <w:r w:rsidR="0033585F" w:rsidRPr="000E008C">
        <w:rPr>
          <w:rFonts w:ascii="Arial" w:hAnsi="Arial" w:cs="Arial"/>
          <w:sz w:val="20"/>
          <w:szCs w:val="20"/>
        </w:rPr>
        <w:t xml:space="preserve"> limitations in this study. The large number of the confounders in relation to the rather small sample size of pa</w:t>
      </w:r>
      <w:r>
        <w:rPr>
          <w:rFonts w:ascii="Arial" w:hAnsi="Arial" w:cs="Arial"/>
          <w:sz w:val="20"/>
          <w:szCs w:val="20"/>
        </w:rPr>
        <w:t>tients enrolled in this study</w:t>
      </w:r>
      <w:r w:rsidR="0033585F" w:rsidRPr="000E008C">
        <w:rPr>
          <w:rFonts w:ascii="Arial" w:hAnsi="Arial" w:cs="Arial"/>
          <w:sz w:val="20"/>
          <w:szCs w:val="20"/>
        </w:rPr>
        <w:t>. A large sample size may be needed for more comprehensive investigation.  It may also, allow for better classification of CHD patients into diabetic only or hypertensive only or obese only. In addition, our study did not address the effect of diabetic control on the serum levels of FGF-21 nor the cause-effect relationship between FGF-21 and the onset and development of CHD. Further studies are needed to elucidate the precise mechanism by which CHD subjects elevate circulation FGF-21 levels and reveal the role of increased FGF-21 levels in CHD.</w:t>
      </w:r>
    </w:p>
    <w:p w:rsidR="0033585F" w:rsidRPr="000E008C" w:rsidRDefault="0033585F" w:rsidP="0033585F">
      <w:pPr>
        <w:autoSpaceDE w:val="0"/>
        <w:autoSpaceDN w:val="0"/>
        <w:bidi w:val="0"/>
        <w:adjustRightInd w:val="0"/>
        <w:spacing w:after="0" w:line="360" w:lineRule="auto"/>
        <w:jc w:val="both"/>
        <w:rPr>
          <w:rFonts w:ascii="Arial" w:hAnsi="Arial" w:cs="Arial"/>
          <w:sz w:val="20"/>
          <w:szCs w:val="20"/>
        </w:rPr>
      </w:pPr>
    </w:p>
    <w:p w:rsidR="001D60EC" w:rsidRPr="00B645CB" w:rsidRDefault="00B645CB" w:rsidP="00C567D2">
      <w:pPr>
        <w:autoSpaceDE w:val="0"/>
        <w:autoSpaceDN w:val="0"/>
        <w:bidi w:val="0"/>
        <w:adjustRightInd w:val="0"/>
        <w:spacing w:after="0" w:line="360" w:lineRule="auto"/>
        <w:jc w:val="both"/>
        <w:rPr>
          <w:rFonts w:ascii="Arial" w:hAnsi="Arial" w:cs="Arial"/>
          <w:b/>
          <w:bCs/>
        </w:rPr>
      </w:pPr>
      <w:r>
        <w:rPr>
          <w:rFonts w:ascii="Arial" w:hAnsi="Arial" w:cs="Arial"/>
          <w:b/>
          <w:bCs/>
        </w:rPr>
        <w:t>CONCLUSION</w:t>
      </w:r>
      <w:r w:rsidR="001D60EC" w:rsidRPr="00B645CB">
        <w:rPr>
          <w:rFonts w:ascii="Arial" w:hAnsi="Arial" w:cs="Arial"/>
          <w:b/>
          <w:bCs/>
        </w:rPr>
        <w:t>:</w:t>
      </w:r>
    </w:p>
    <w:p w:rsidR="001D60EC" w:rsidRPr="000E008C" w:rsidRDefault="001D60EC" w:rsidP="00C567D2">
      <w:p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 xml:space="preserve">This study provides clinical evidence revealing that serum concentrations of FGF-21 are increased in CHD subjects with diabetes or hypertension in comparison to diabetic and hypertensive patients not suffering from CHD. Our data suggest that serum concentrations of FGF21 in humans are not related to insulin secretion, but rather to lipid metabolism. SBP appears to be strongly associated with serum FGF21 in CHD subjects. The consistent increase in FGF21 </w:t>
      </w:r>
      <w:r w:rsidRPr="000E008C">
        <w:rPr>
          <w:rFonts w:ascii="Arial" w:hAnsi="Arial" w:cs="Arial"/>
          <w:sz w:val="20"/>
          <w:szCs w:val="20"/>
        </w:rPr>
        <w:lastRenderedPageBreak/>
        <w:t>seen in human CHD patients and apparent significant difference between severity classified subgroups raises the intriguing possibility that FGF21 could be a biomarker for CHD and may be used to asses severity of CHD.</w:t>
      </w:r>
    </w:p>
    <w:p w:rsidR="00117DE7" w:rsidRPr="000E008C" w:rsidRDefault="00117DE7" w:rsidP="00117DE7">
      <w:pPr>
        <w:autoSpaceDE w:val="0"/>
        <w:autoSpaceDN w:val="0"/>
        <w:bidi w:val="0"/>
        <w:adjustRightInd w:val="0"/>
        <w:spacing w:after="0" w:line="360" w:lineRule="auto"/>
        <w:jc w:val="both"/>
        <w:rPr>
          <w:rFonts w:ascii="Arial" w:hAnsi="Arial" w:cs="Arial"/>
          <w:sz w:val="20"/>
          <w:szCs w:val="20"/>
        </w:rPr>
      </w:pPr>
    </w:p>
    <w:p w:rsidR="00A43EFC" w:rsidRPr="000E008C" w:rsidRDefault="00A43EFC" w:rsidP="00117DE7">
      <w:pPr>
        <w:autoSpaceDE w:val="0"/>
        <w:autoSpaceDN w:val="0"/>
        <w:bidi w:val="0"/>
        <w:adjustRightInd w:val="0"/>
        <w:spacing w:after="0" w:line="360" w:lineRule="auto"/>
        <w:jc w:val="both"/>
        <w:rPr>
          <w:rFonts w:ascii="Arial" w:hAnsi="Arial" w:cs="Arial"/>
          <w:sz w:val="20"/>
          <w:szCs w:val="20"/>
        </w:rPr>
      </w:pPr>
    </w:p>
    <w:p w:rsidR="00A43EFC" w:rsidRPr="000E008C" w:rsidRDefault="00A43EFC" w:rsidP="00A43EFC">
      <w:pPr>
        <w:autoSpaceDE w:val="0"/>
        <w:autoSpaceDN w:val="0"/>
        <w:bidi w:val="0"/>
        <w:adjustRightInd w:val="0"/>
        <w:spacing w:after="0" w:line="360" w:lineRule="auto"/>
        <w:jc w:val="both"/>
        <w:rPr>
          <w:rFonts w:ascii="Arial" w:hAnsi="Arial" w:cs="Arial"/>
          <w:sz w:val="20"/>
          <w:szCs w:val="20"/>
        </w:rPr>
      </w:pPr>
    </w:p>
    <w:p w:rsidR="00A43EFC" w:rsidRPr="000E008C" w:rsidRDefault="00A43EFC" w:rsidP="00A43EFC">
      <w:pPr>
        <w:autoSpaceDE w:val="0"/>
        <w:autoSpaceDN w:val="0"/>
        <w:bidi w:val="0"/>
        <w:adjustRightInd w:val="0"/>
        <w:spacing w:after="0" w:line="360" w:lineRule="auto"/>
        <w:jc w:val="both"/>
        <w:rPr>
          <w:rFonts w:ascii="Arial" w:hAnsi="Arial" w:cs="Arial"/>
          <w:sz w:val="20"/>
          <w:szCs w:val="20"/>
        </w:rPr>
      </w:pPr>
    </w:p>
    <w:p w:rsidR="00A43EFC" w:rsidRPr="000E008C" w:rsidRDefault="00A43EFC" w:rsidP="00A43EFC">
      <w:pPr>
        <w:autoSpaceDE w:val="0"/>
        <w:autoSpaceDN w:val="0"/>
        <w:bidi w:val="0"/>
        <w:adjustRightInd w:val="0"/>
        <w:spacing w:after="0" w:line="360" w:lineRule="auto"/>
        <w:jc w:val="both"/>
        <w:rPr>
          <w:rFonts w:ascii="Arial" w:hAnsi="Arial" w:cs="Arial"/>
          <w:sz w:val="20"/>
          <w:szCs w:val="20"/>
        </w:rPr>
      </w:pPr>
    </w:p>
    <w:p w:rsidR="00A43EFC" w:rsidRPr="000E008C" w:rsidRDefault="00A43EFC" w:rsidP="00A43EFC">
      <w:pPr>
        <w:autoSpaceDE w:val="0"/>
        <w:autoSpaceDN w:val="0"/>
        <w:bidi w:val="0"/>
        <w:adjustRightInd w:val="0"/>
        <w:spacing w:after="0" w:line="360" w:lineRule="auto"/>
        <w:jc w:val="both"/>
        <w:rPr>
          <w:rFonts w:ascii="Arial" w:hAnsi="Arial" w:cs="Arial"/>
          <w:sz w:val="20"/>
          <w:szCs w:val="20"/>
        </w:rPr>
      </w:pPr>
    </w:p>
    <w:p w:rsidR="002F7E94" w:rsidRPr="000E008C" w:rsidRDefault="002F7E94" w:rsidP="00A43EFC">
      <w:pPr>
        <w:autoSpaceDE w:val="0"/>
        <w:autoSpaceDN w:val="0"/>
        <w:bidi w:val="0"/>
        <w:adjustRightInd w:val="0"/>
        <w:spacing w:after="0" w:line="360" w:lineRule="auto"/>
        <w:jc w:val="both"/>
        <w:rPr>
          <w:rFonts w:ascii="Arial" w:hAnsi="Arial" w:cs="Arial"/>
          <w:b/>
          <w:bCs/>
          <w:rtl/>
        </w:rPr>
      </w:pPr>
      <w:r w:rsidRPr="000E008C">
        <w:rPr>
          <w:rFonts w:ascii="Arial" w:hAnsi="Arial" w:cs="Arial"/>
          <w:b/>
          <w:bCs/>
        </w:rPr>
        <w:t>R</w:t>
      </w:r>
      <w:r w:rsidR="000E008C">
        <w:rPr>
          <w:rFonts w:ascii="Arial" w:hAnsi="Arial" w:cs="Arial"/>
          <w:b/>
          <w:bCs/>
        </w:rPr>
        <w:t>EFRENCES</w:t>
      </w:r>
      <w:r w:rsidR="00117DE7" w:rsidRPr="000E008C">
        <w:rPr>
          <w:rFonts w:ascii="Arial" w:hAnsi="Arial" w:cs="Arial"/>
          <w:b/>
          <w:bCs/>
        </w:rPr>
        <w:t>:</w:t>
      </w:r>
    </w:p>
    <w:p w:rsidR="00A43EFC" w:rsidRPr="000E008C" w:rsidRDefault="00A43EFC"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Li H, Zhang J, Jia W. Fibroblast growth factor 21: a novel metabolic regulator from pharmacology to physiology. Front Med. 2013;</w:t>
      </w:r>
      <w:r w:rsidR="00580C08">
        <w:rPr>
          <w:rFonts w:ascii="Arial" w:hAnsi="Arial" w:cs="Arial"/>
          <w:sz w:val="20"/>
          <w:szCs w:val="20"/>
        </w:rPr>
        <w:t xml:space="preserve"> </w:t>
      </w:r>
      <w:r w:rsidRPr="000E008C">
        <w:rPr>
          <w:rFonts w:ascii="Arial" w:hAnsi="Arial" w:cs="Arial"/>
          <w:sz w:val="20"/>
          <w:szCs w:val="20"/>
        </w:rPr>
        <w:t>7:25–30.</w:t>
      </w:r>
    </w:p>
    <w:p w:rsidR="000E008C" w:rsidRPr="000E008C" w:rsidRDefault="00C732B1"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hyperlink r:id="rId15" w:history="1">
        <w:r w:rsidR="000E008C" w:rsidRPr="000E008C">
          <w:rPr>
            <w:rFonts w:ascii="Arial" w:hAnsi="Arial" w:cs="Arial"/>
            <w:sz w:val="20"/>
            <w:szCs w:val="20"/>
          </w:rPr>
          <w:t>Bobbert T</w:t>
        </w:r>
      </w:hyperlink>
      <w:r w:rsidR="000E008C" w:rsidRPr="000E008C">
        <w:rPr>
          <w:rFonts w:ascii="Arial" w:hAnsi="Arial" w:cs="Arial"/>
          <w:sz w:val="20"/>
          <w:szCs w:val="20"/>
        </w:rPr>
        <w:t>, </w:t>
      </w:r>
      <w:hyperlink r:id="rId16" w:history="1">
        <w:r w:rsidR="000E008C" w:rsidRPr="000E008C">
          <w:rPr>
            <w:rFonts w:ascii="Arial" w:hAnsi="Arial" w:cs="Arial"/>
            <w:sz w:val="20"/>
            <w:szCs w:val="20"/>
          </w:rPr>
          <w:t>Schwarz F</w:t>
        </w:r>
      </w:hyperlink>
      <w:r w:rsidR="000E008C" w:rsidRPr="000E008C">
        <w:rPr>
          <w:rFonts w:ascii="Arial" w:hAnsi="Arial" w:cs="Arial"/>
          <w:sz w:val="20"/>
          <w:szCs w:val="20"/>
        </w:rPr>
        <w:t>, </w:t>
      </w:r>
      <w:hyperlink r:id="rId17" w:history="1">
        <w:r w:rsidR="000E008C" w:rsidRPr="000E008C">
          <w:rPr>
            <w:rFonts w:ascii="Arial" w:hAnsi="Arial" w:cs="Arial"/>
            <w:sz w:val="20"/>
            <w:szCs w:val="20"/>
          </w:rPr>
          <w:t>Fischer-Rosinsky A</w:t>
        </w:r>
      </w:hyperlink>
      <w:r w:rsidR="00580C08">
        <w:rPr>
          <w:rFonts w:ascii="Arial" w:hAnsi="Arial" w:cs="Arial"/>
          <w:sz w:val="20"/>
          <w:szCs w:val="20"/>
        </w:rPr>
        <w:t>, </w:t>
      </w:r>
      <w:r w:rsidR="000E008C" w:rsidRPr="000E008C">
        <w:rPr>
          <w:rFonts w:ascii="Arial" w:hAnsi="Arial" w:cs="Arial"/>
          <w:sz w:val="20"/>
          <w:szCs w:val="20"/>
        </w:rPr>
        <w:t>et al. Fibroblast growth factor 21 predicts the metabolic syndrome an</w:t>
      </w:r>
      <w:r w:rsidR="006E03C7">
        <w:rPr>
          <w:rFonts w:ascii="Arial" w:hAnsi="Arial" w:cs="Arial"/>
          <w:sz w:val="20"/>
          <w:szCs w:val="20"/>
        </w:rPr>
        <w:t>d type 2 diabetes in Caucasians</w:t>
      </w:r>
      <w:r w:rsidR="000E008C" w:rsidRPr="000E008C">
        <w:rPr>
          <w:rFonts w:ascii="Arial" w:hAnsi="Arial" w:cs="Arial"/>
          <w:sz w:val="20"/>
          <w:szCs w:val="20"/>
        </w:rPr>
        <w:t>.</w:t>
      </w:r>
      <w:r w:rsidR="006E03C7">
        <w:rPr>
          <w:rFonts w:ascii="Arial" w:hAnsi="Arial" w:cs="Arial"/>
          <w:sz w:val="20"/>
          <w:szCs w:val="20"/>
        </w:rPr>
        <w:t xml:space="preserve"> </w:t>
      </w:r>
      <w:hyperlink r:id="rId18" w:tooltip="Diabetes care." w:history="1">
        <w:r w:rsidR="000E008C" w:rsidRPr="000E008C">
          <w:rPr>
            <w:rFonts w:ascii="Arial" w:hAnsi="Arial" w:cs="Arial"/>
            <w:sz w:val="20"/>
            <w:szCs w:val="20"/>
          </w:rPr>
          <w:t>Diabetes Care</w:t>
        </w:r>
      </w:hyperlink>
      <w:r w:rsidR="00580C08">
        <w:rPr>
          <w:rFonts w:ascii="Arial" w:hAnsi="Arial" w:cs="Arial"/>
          <w:sz w:val="20"/>
          <w:szCs w:val="20"/>
        </w:rPr>
        <w:t xml:space="preserve">. 2013; </w:t>
      </w:r>
      <w:r w:rsidR="000E008C" w:rsidRPr="000E008C">
        <w:rPr>
          <w:rFonts w:ascii="Arial" w:hAnsi="Arial" w:cs="Arial"/>
          <w:sz w:val="20"/>
          <w:szCs w:val="20"/>
        </w:rPr>
        <w:t>36; (1); 145-9.</w:t>
      </w:r>
    </w:p>
    <w:p w:rsidR="00097E4A"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Kharitonenkov A, Shanafelt AB.  Fibroblast growth factor-21 as a therapeutic agent for metabolic diseases. BioDrugs. 2008; 22; 37–44.</w:t>
      </w:r>
    </w:p>
    <w:p w:rsidR="00F435EA" w:rsidRPr="000E008C" w:rsidRDefault="00F435EA" w:rsidP="00F435EA">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F435EA">
        <w:rPr>
          <w:rFonts w:ascii="Arial" w:hAnsi="Arial" w:cs="Arial"/>
          <w:sz w:val="20"/>
          <w:szCs w:val="20"/>
        </w:rPr>
        <w:t>Semba RD, Sun K, Egan JM, Crasto C, Carlson OD, Ferrucci L. Relationship of serum fibroblast growth factor 21 with abnormal glucose metabolism and insulin resistance: the Baltimore Longitudinal Study of Aging. J Clin Endocrinol Metab. 2012;</w:t>
      </w:r>
      <w:r w:rsidR="00580C08">
        <w:rPr>
          <w:rFonts w:ascii="Arial" w:hAnsi="Arial" w:cs="Arial"/>
          <w:sz w:val="20"/>
          <w:szCs w:val="20"/>
        </w:rPr>
        <w:t xml:space="preserve"> </w:t>
      </w:r>
      <w:r w:rsidRPr="00F435EA">
        <w:rPr>
          <w:rFonts w:ascii="Arial" w:hAnsi="Arial" w:cs="Arial"/>
          <w:sz w:val="20"/>
          <w:szCs w:val="20"/>
        </w:rPr>
        <w:t>97:1375–1382.</w:t>
      </w:r>
    </w:p>
    <w:p w:rsidR="00097E4A" w:rsidRPr="000E008C" w:rsidRDefault="00C732B1"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hyperlink r:id="rId19" w:history="1">
        <w:r w:rsidR="00097E4A" w:rsidRPr="000E008C">
          <w:rPr>
            <w:rFonts w:ascii="Arial" w:hAnsi="Arial" w:cs="Arial"/>
            <w:sz w:val="20"/>
            <w:szCs w:val="20"/>
          </w:rPr>
          <w:t>Lin Z</w:t>
        </w:r>
      </w:hyperlink>
      <w:r w:rsidR="00097E4A" w:rsidRPr="000E008C">
        <w:rPr>
          <w:rFonts w:ascii="Arial" w:hAnsi="Arial" w:cs="Arial"/>
          <w:sz w:val="20"/>
          <w:szCs w:val="20"/>
        </w:rPr>
        <w:t>, </w:t>
      </w:r>
      <w:hyperlink r:id="rId20" w:history="1">
        <w:r w:rsidR="00097E4A" w:rsidRPr="000E008C">
          <w:rPr>
            <w:rFonts w:ascii="Arial" w:hAnsi="Arial" w:cs="Arial"/>
            <w:sz w:val="20"/>
            <w:szCs w:val="20"/>
          </w:rPr>
          <w:t>Wu Z</w:t>
        </w:r>
      </w:hyperlink>
      <w:r w:rsidR="00097E4A" w:rsidRPr="000E008C">
        <w:rPr>
          <w:rFonts w:ascii="Arial" w:hAnsi="Arial" w:cs="Arial"/>
          <w:sz w:val="20"/>
          <w:szCs w:val="20"/>
        </w:rPr>
        <w:t>, </w:t>
      </w:r>
      <w:hyperlink r:id="rId21" w:history="1">
        <w:r w:rsidR="00097E4A" w:rsidRPr="000E008C">
          <w:rPr>
            <w:rFonts w:ascii="Arial" w:hAnsi="Arial" w:cs="Arial"/>
            <w:sz w:val="20"/>
            <w:szCs w:val="20"/>
          </w:rPr>
          <w:t>Yin X</w:t>
        </w:r>
      </w:hyperlink>
      <w:r w:rsidR="00097E4A" w:rsidRPr="000E008C">
        <w:rPr>
          <w:rFonts w:ascii="Arial" w:hAnsi="Arial" w:cs="Arial"/>
          <w:sz w:val="20"/>
          <w:szCs w:val="20"/>
        </w:rPr>
        <w:t xml:space="preserve">, et al. Serum levels of FGF-21 are increased in coronary heart disease patients and are independently associated with adverse lipid profile. </w:t>
      </w:r>
      <w:hyperlink r:id="rId22" w:tooltip="PloS one." w:history="1">
        <w:r w:rsidR="00097E4A" w:rsidRPr="000E008C">
          <w:rPr>
            <w:rFonts w:ascii="Arial" w:hAnsi="Arial" w:cs="Arial"/>
            <w:sz w:val="20"/>
            <w:szCs w:val="20"/>
          </w:rPr>
          <w:t>PLoS One</w:t>
        </w:r>
      </w:hyperlink>
      <w:r w:rsidR="00097E4A" w:rsidRPr="000E008C">
        <w:rPr>
          <w:rFonts w:ascii="Arial" w:hAnsi="Arial" w:cs="Arial"/>
          <w:sz w:val="20"/>
          <w:szCs w:val="20"/>
        </w:rPr>
        <w:t>. 2010; 5; e15534.</w:t>
      </w:r>
    </w:p>
    <w:p w:rsidR="00097E4A" w:rsidRDefault="00097E4A" w:rsidP="00764E0E">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Lee Y, Lim S, Kim JH, et al.  Serum FGF21 Concentration is Associated with Hypertriglyceridemia, Hyperinsulinemia and Pericardial Fat Accumulation, Independently of Obesity, but Not with Current Coronary Artery Statu</w:t>
      </w:r>
      <w:r w:rsidR="00F435EA">
        <w:rPr>
          <w:rFonts w:ascii="Arial" w:hAnsi="Arial" w:cs="Arial"/>
          <w:sz w:val="20"/>
          <w:szCs w:val="20"/>
        </w:rPr>
        <w:t>s. Clinical Endocrinology. 2014</w:t>
      </w:r>
      <w:r w:rsidRPr="000E008C">
        <w:rPr>
          <w:rFonts w:ascii="Arial" w:hAnsi="Arial" w:cs="Arial"/>
          <w:sz w:val="20"/>
          <w:szCs w:val="20"/>
        </w:rPr>
        <w:t>;</w:t>
      </w:r>
      <w:r w:rsidR="00764E0E">
        <w:rPr>
          <w:rFonts w:ascii="Arial" w:hAnsi="Arial" w:cs="Arial"/>
          <w:sz w:val="20"/>
          <w:szCs w:val="20"/>
        </w:rPr>
        <w:t xml:space="preserve"> 80:57-64.</w:t>
      </w:r>
    </w:p>
    <w:p w:rsidR="00764E0E" w:rsidRPr="00764E0E" w:rsidRDefault="00764E0E" w:rsidP="00764E0E">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764E0E">
        <w:rPr>
          <w:rFonts w:ascii="Arial" w:hAnsi="Arial" w:cs="Arial"/>
          <w:sz w:val="20"/>
          <w:szCs w:val="20"/>
        </w:rPr>
        <w:t>Chow W. S., Xu A., Woo Y. C., et al. Serum fibroblast growth factor-21 levels are associated with carotid atherosclerosis independent of established cardiovascular risk factors. </w:t>
      </w:r>
      <w:r w:rsidRPr="00764E0E">
        <w:rPr>
          <w:rFonts w:ascii="Arial" w:hAnsi="Arial" w:cs="Arial"/>
          <w:i/>
          <w:iCs/>
          <w:sz w:val="20"/>
          <w:szCs w:val="20"/>
        </w:rPr>
        <w:t>Arteriosclerosis, Thrombosis, and Vascular Biology</w:t>
      </w:r>
      <w:r w:rsidRPr="00764E0E">
        <w:rPr>
          <w:rFonts w:ascii="Arial" w:hAnsi="Arial" w:cs="Arial"/>
          <w:sz w:val="20"/>
          <w:szCs w:val="20"/>
        </w:rPr>
        <w:t>. 2013;</w:t>
      </w:r>
      <w:r w:rsidR="00580C08">
        <w:rPr>
          <w:rFonts w:ascii="Arial" w:hAnsi="Arial" w:cs="Arial"/>
          <w:sz w:val="20"/>
          <w:szCs w:val="20"/>
        </w:rPr>
        <w:t xml:space="preserve"> </w:t>
      </w:r>
      <w:r w:rsidRPr="00764E0E">
        <w:rPr>
          <w:rFonts w:ascii="Arial" w:hAnsi="Arial" w:cs="Arial"/>
          <w:sz w:val="20"/>
          <w:szCs w:val="20"/>
        </w:rPr>
        <w:t>33(10):2454–2459. </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Keys A, Fidanza F, KarvonenMJ, et al. Indices of relative weight and obesity. J. Chronic Diseases. 1972; 25; 329-343.</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Itoh N and Ornitz DM. Fibroblast growth factors: from molecular evolution to roles in development, metabolism and disease. J. Biochem. 2011; 149; 121–130.</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Starr J I1, Mako M E, Juhn D , et al. Measurement of serum proinsulin-like material:cross-reactivity of porcine and human proinsulin in the insulin radioimmunoas</w:t>
      </w:r>
      <w:r w:rsidR="00580C08">
        <w:rPr>
          <w:rFonts w:ascii="Arial" w:hAnsi="Arial" w:cs="Arial"/>
          <w:sz w:val="20"/>
          <w:szCs w:val="20"/>
        </w:rPr>
        <w:t xml:space="preserve">say. J Lab Clin Med. 1978; 91; </w:t>
      </w:r>
      <w:r w:rsidRPr="000E008C">
        <w:rPr>
          <w:rFonts w:ascii="Arial" w:hAnsi="Arial" w:cs="Arial"/>
          <w:sz w:val="20"/>
          <w:szCs w:val="20"/>
        </w:rPr>
        <w:t>691-692.</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 xml:space="preserve">Shintani Y, Fujie H, Miyoshi H, et al. Hepatitis C virus infection and diabetes: direct involvement of the virus in the development of insulin resistance. </w:t>
      </w:r>
      <w:hyperlink r:id="rId23" w:tooltip="Gastroenterology." w:history="1">
        <w:r w:rsidRPr="000E008C">
          <w:rPr>
            <w:rFonts w:ascii="Arial" w:hAnsi="Arial" w:cs="Arial"/>
            <w:sz w:val="20"/>
            <w:szCs w:val="20"/>
          </w:rPr>
          <w:t>Gastroenterology</w:t>
        </w:r>
      </w:hyperlink>
      <w:r w:rsidRPr="000E008C">
        <w:rPr>
          <w:rFonts w:ascii="Arial" w:hAnsi="Arial" w:cs="Arial"/>
          <w:sz w:val="20"/>
          <w:szCs w:val="20"/>
        </w:rPr>
        <w:t>. 2004; 126; 840-8.</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lastRenderedPageBreak/>
        <w:t>Wexler L, Brundage B, Crouse J, et al. Coronary Artery Calcification: Pathophysiology, Epidemiology, Imaging Methods, and Clinical Implications. American Heart Association. 1996; 94; 1175-1192.</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Fayad ZA, Valentin Fuster, Konstantin Nikolaou, et al. Computed Tomography and Magnetic Resonance Imaging for Noninvasive Coronary Angiography and Plaque Imaging: Current and Potential Future Concepts. Circulation journal of the American Heart Association. 2002; 106; 2026-2034.</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Jasmin Čaluk. Procedural Techniques of Coronary Angiography, Advances in the Diagnosis of Coronary Atherosclerosis. ISBN. 2011; 978-953-307-286-9.</w:t>
      </w:r>
    </w:p>
    <w:p w:rsidR="009E00B7" w:rsidRDefault="009E00B7"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Judkins MP. Percutaneous transfemoral selective coronary arteriography. Radiol Clin North Am.1968;</w:t>
      </w:r>
      <w:r w:rsidR="00580C08">
        <w:rPr>
          <w:rFonts w:ascii="Arial" w:hAnsi="Arial" w:cs="Arial"/>
          <w:sz w:val="20"/>
          <w:szCs w:val="20"/>
        </w:rPr>
        <w:t xml:space="preserve"> </w:t>
      </w:r>
      <w:r w:rsidRPr="000E008C">
        <w:rPr>
          <w:rFonts w:ascii="Arial" w:hAnsi="Arial" w:cs="Arial"/>
          <w:sz w:val="20"/>
          <w:szCs w:val="20"/>
        </w:rPr>
        <w:t>6:467–492. </w:t>
      </w:r>
    </w:p>
    <w:p w:rsidR="0092067C" w:rsidRDefault="0092067C" w:rsidP="0092067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92067C">
        <w:rPr>
          <w:rFonts w:ascii="Arial" w:hAnsi="Arial" w:cs="Arial"/>
          <w:sz w:val="20"/>
          <w:szCs w:val="20"/>
        </w:rPr>
        <w:t>Zhang X, Ibrahimi OA, Olsen SK et al. Receptor specificity of the fibroblast growth factor family. The complete mammalian FGF family. J Biol Chem 2006; 281: 15694–15700.</w:t>
      </w:r>
    </w:p>
    <w:p w:rsidR="00147AB6" w:rsidRPr="00147AB6" w:rsidRDefault="00147AB6" w:rsidP="00147AB6">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Matuszek B, Lenart-Lipińska M, Duma D, et al. Evaluation of concentrations of FGF-21 a new adipocytokine in type 2 diabetes. Polish Journal of Endocrinology. 2010; 61; 50-4.</w:t>
      </w:r>
    </w:p>
    <w:p w:rsidR="00E56E37" w:rsidRDefault="00E56E37" w:rsidP="00E56E37">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E56E37">
        <w:rPr>
          <w:rFonts w:ascii="Arial" w:hAnsi="Arial" w:cs="Arial"/>
          <w:sz w:val="20"/>
          <w:szCs w:val="20"/>
        </w:rPr>
        <w:t>Liu S. Q., Roberts D., Kharitonenkov A., et al. Endocrine protection of ischemic myocardium by FGF21 from the liver and adipose tissue. </w:t>
      </w:r>
      <w:r w:rsidRPr="00E56E37">
        <w:rPr>
          <w:rFonts w:ascii="Arial" w:hAnsi="Arial" w:cs="Arial"/>
          <w:i/>
          <w:iCs/>
          <w:sz w:val="20"/>
          <w:szCs w:val="20"/>
        </w:rPr>
        <w:t>Scientific Reports</w:t>
      </w:r>
      <w:r w:rsidRPr="00E56E37">
        <w:rPr>
          <w:rFonts w:ascii="Arial" w:hAnsi="Arial" w:cs="Arial"/>
          <w:sz w:val="20"/>
          <w:szCs w:val="20"/>
        </w:rPr>
        <w:t>. 2013;3, article 2767 doi: 10.1038/srep02767.</w:t>
      </w:r>
    </w:p>
    <w:p w:rsidR="00E56E37" w:rsidRDefault="00E56E37" w:rsidP="00E56E37">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E56E37">
        <w:rPr>
          <w:rFonts w:ascii="Arial" w:hAnsi="Arial" w:cs="Arial"/>
          <w:sz w:val="20"/>
          <w:szCs w:val="20"/>
        </w:rPr>
        <w:t>Liu S. Q., Tefft B. J., Roberts D. T., et al. Cardioprotective proteins upregulated in the liver in response to experimental myocardial ischemia. </w:t>
      </w:r>
      <w:r w:rsidRPr="00E56E37">
        <w:rPr>
          <w:rFonts w:ascii="Arial" w:hAnsi="Arial" w:cs="Arial"/>
          <w:i/>
          <w:iCs/>
          <w:sz w:val="20"/>
          <w:szCs w:val="20"/>
        </w:rPr>
        <w:t>American Journal of Physiology—Heart and Circulatory Physiology</w:t>
      </w:r>
      <w:r w:rsidRPr="00E56E37">
        <w:rPr>
          <w:rFonts w:ascii="Arial" w:hAnsi="Arial" w:cs="Arial"/>
          <w:sz w:val="20"/>
          <w:szCs w:val="20"/>
        </w:rPr>
        <w:t>.2012;</w:t>
      </w:r>
      <w:r w:rsidR="00580C08">
        <w:rPr>
          <w:rFonts w:ascii="Arial" w:hAnsi="Arial" w:cs="Arial"/>
          <w:sz w:val="20"/>
          <w:szCs w:val="20"/>
        </w:rPr>
        <w:t xml:space="preserve"> </w:t>
      </w:r>
      <w:r w:rsidRPr="00E56E37">
        <w:rPr>
          <w:rFonts w:ascii="Arial" w:hAnsi="Arial" w:cs="Arial"/>
          <w:sz w:val="20"/>
          <w:szCs w:val="20"/>
        </w:rPr>
        <w:t>303</w:t>
      </w:r>
      <w:r>
        <w:rPr>
          <w:rFonts w:ascii="Arial" w:hAnsi="Arial" w:cs="Arial"/>
          <w:sz w:val="20"/>
          <w:szCs w:val="20"/>
        </w:rPr>
        <w:t xml:space="preserve">(12):H1446–H1458. </w:t>
      </w:r>
    </w:p>
    <w:p w:rsidR="003D28F2" w:rsidRPr="000E008C" w:rsidRDefault="003D28F2" w:rsidP="003D28F2">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3D28F2">
        <w:rPr>
          <w:rFonts w:ascii="Arial" w:hAnsi="Arial" w:cs="Arial"/>
          <w:sz w:val="20"/>
          <w:szCs w:val="20"/>
        </w:rPr>
        <w:t>Semba RD, Crasto C, Strait J, Sun K, Schaumberg DA, Ferrucci L : Elevated serum fibroblast growth factor 21 is associated with hypertension in community-dwelling adults. </w:t>
      </w:r>
      <w:r>
        <w:rPr>
          <w:rFonts w:ascii="Arial" w:hAnsi="Arial" w:cs="Arial"/>
          <w:sz w:val="20"/>
          <w:szCs w:val="20"/>
        </w:rPr>
        <w:t>J Hum Hypertens.2013; 27(6): 397-399.</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Eto K, Tumenbayar B, Nagashima S, et al. Distinct association of serum FGF21 or adiponectin levels with clinical parameters in patients with type 2 diabetes. Diabetes Res Clin Pract. 2010; 89; 52–57.</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Walldius G, Jungner I, Aastveit AH, et al. The apoB/apoA-I ratio is better than the cholesterol ratios to estimate the balance between plasma proatherogenic and antiatherogenic lipoproteins and to predict coronary risk. Clin Chem Lab Med. 2004; 42; 1355–1363.</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Kharitonenkov A, Shiyanova TL, Koester A, et al. FGF-21 as a novel metabolic regulator. J Clin Invest. 2005; 115; 1627-35</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Kharitonenkov A, Wroblewski VJ, Koester A, et al. The metabolic state of diabetic monkeys is regulated by fibroblast growth factor-21. Endocrinology. 2007; 148; 774-781.</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Galman C, Lundasen T, Kharitonenkov A, et al. The circulating metabolic regulator FGF21 is induced by prolonged fasting and PPAR alpha activation in man. Cell Metab. 2008; 8; 169–74.</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lastRenderedPageBreak/>
        <w:t>Zhang Y, Lei T, Huang JF, et al. The link between fibroblast growth factor 21 and sterol regulatory element binding protein 1c during lipogenesis in hepatocytes. Mol Cell Endocrinol. 2011;  342;  41-47.</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Badman MK, Pissios P, Kennedy AR, et al.  Hepatic fibroblast growth factor 21 is regulated by PPAR alpha and is a key mediator of hepatic lipid metabolism in ketotic states. Cell Metab. 2007; 5; 426–37.</w:t>
      </w:r>
    </w:p>
    <w:p w:rsidR="00097E4A" w:rsidRPr="000E008C"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Fisher FM, Chui PC, Antonellis PJ, et al. Obesity is a fibroblast growth factor 21 (FGF21)-resistant state. Diabetes. 2010; 59; 2781-2789.</w:t>
      </w:r>
    </w:p>
    <w:p w:rsidR="00097E4A" w:rsidRDefault="00097E4A" w:rsidP="000E008C">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Li K, Li L, Yang M, et al. Effects of rosiglitazone on fasting plasma fibroblast growth factor-21 levels in patients with type-2 diabetes mellitus. European Journa</w:t>
      </w:r>
      <w:r w:rsidR="00522ADE">
        <w:rPr>
          <w:rFonts w:ascii="Arial" w:hAnsi="Arial" w:cs="Arial"/>
          <w:sz w:val="20"/>
          <w:szCs w:val="20"/>
        </w:rPr>
        <w:t xml:space="preserve">l of Endocrinology. 2009; 161; </w:t>
      </w:r>
      <w:r w:rsidRPr="000E008C">
        <w:rPr>
          <w:rFonts w:ascii="Arial" w:hAnsi="Arial" w:cs="Arial"/>
          <w:sz w:val="20"/>
          <w:szCs w:val="20"/>
        </w:rPr>
        <w:t>391–395.</w:t>
      </w:r>
    </w:p>
    <w:p w:rsidR="00EF0FAD" w:rsidRPr="000E008C" w:rsidRDefault="00EF0FAD" w:rsidP="00EF0FAD">
      <w:pPr>
        <w:pStyle w:val="ListParagraph"/>
        <w:numPr>
          <w:ilvl w:val="0"/>
          <w:numId w:val="14"/>
        </w:numPr>
        <w:autoSpaceDE w:val="0"/>
        <w:autoSpaceDN w:val="0"/>
        <w:bidi w:val="0"/>
        <w:adjustRightInd w:val="0"/>
        <w:spacing w:after="0" w:line="360" w:lineRule="auto"/>
        <w:jc w:val="both"/>
        <w:rPr>
          <w:rFonts w:ascii="Arial" w:hAnsi="Arial" w:cs="Arial"/>
          <w:sz w:val="20"/>
          <w:szCs w:val="20"/>
        </w:rPr>
      </w:pPr>
      <w:r w:rsidRPr="000E008C">
        <w:rPr>
          <w:rFonts w:ascii="Arial" w:hAnsi="Arial" w:cs="Arial"/>
          <w:sz w:val="20"/>
          <w:szCs w:val="20"/>
        </w:rPr>
        <w:t>Zhang X, Yeung DC, Karpisek M, et al. Serum FGF21 levels are increased in obesity and are independently associated with the metabolic syndrome in humans. Diabetes. 2008; 57; 1246–1253.</w:t>
      </w:r>
    </w:p>
    <w:p w:rsidR="00EF0FAD" w:rsidRPr="000E008C" w:rsidRDefault="00EF0FAD" w:rsidP="00EF0FAD">
      <w:pPr>
        <w:pStyle w:val="ListParagraph"/>
        <w:autoSpaceDE w:val="0"/>
        <w:autoSpaceDN w:val="0"/>
        <w:bidi w:val="0"/>
        <w:adjustRightInd w:val="0"/>
        <w:spacing w:after="0" w:line="360" w:lineRule="auto"/>
        <w:jc w:val="both"/>
        <w:rPr>
          <w:rFonts w:ascii="Arial" w:hAnsi="Arial" w:cs="Arial"/>
          <w:sz w:val="20"/>
          <w:szCs w:val="20"/>
        </w:rPr>
      </w:pPr>
    </w:p>
    <w:p w:rsidR="001D60EC" w:rsidRPr="000E008C" w:rsidRDefault="001D60EC" w:rsidP="00C567D2">
      <w:pPr>
        <w:autoSpaceDE w:val="0"/>
        <w:autoSpaceDN w:val="0"/>
        <w:bidi w:val="0"/>
        <w:adjustRightInd w:val="0"/>
        <w:spacing w:after="0" w:line="360" w:lineRule="auto"/>
        <w:jc w:val="both"/>
        <w:rPr>
          <w:rFonts w:ascii="Arial" w:hAnsi="Arial" w:cs="Arial"/>
          <w:sz w:val="20"/>
          <w:szCs w:val="20"/>
        </w:rPr>
      </w:pPr>
    </w:p>
    <w:p w:rsidR="001D60EC" w:rsidRPr="000E008C" w:rsidRDefault="001D60EC" w:rsidP="000E008C">
      <w:pPr>
        <w:autoSpaceDE w:val="0"/>
        <w:autoSpaceDN w:val="0"/>
        <w:bidi w:val="0"/>
        <w:adjustRightInd w:val="0"/>
        <w:spacing w:after="0" w:line="360" w:lineRule="auto"/>
        <w:jc w:val="both"/>
        <w:rPr>
          <w:rFonts w:ascii="Arial" w:hAnsi="Arial" w:cs="Arial"/>
          <w:sz w:val="20"/>
          <w:szCs w:val="20"/>
        </w:rPr>
      </w:pPr>
    </w:p>
    <w:p w:rsidR="001835B9" w:rsidRPr="000E008C" w:rsidRDefault="001835B9" w:rsidP="00C567D2">
      <w:pPr>
        <w:autoSpaceDE w:val="0"/>
        <w:autoSpaceDN w:val="0"/>
        <w:bidi w:val="0"/>
        <w:adjustRightInd w:val="0"/>
        <w:spacing w:after="0" w:line="360" w:lineRule="auto"/>
        <w:jc w:val="both"/>
        <w:rPr>
          <w:rFonts w:ascii="Arial" w:hAnsi="Arial" w:cs="Arial"/>
          <w:sz w:val="20"/>
          <w:szCs w:val="20"/>
        </w:rPr>
      </w:pPr>
    </w:p>
    <w:p w:rsidR="00A96416" w:rsidRPr="000E008C" w:rsidRDefault="00A96416" w:rsidP="00C567D2">
      <w:pPr>
        <w:autoSpaceDE w:val="0"/>
        <w:autoSpaceDN w:val="0"/>
        <w:bidi w:val="0"/>
        <w:adjustRightInd w:val="0"/>
        <w:spacing w:after="0" w:line="360" w:lineRule="auto"/>
        <w:jc w:val="both"/>
        <w:rPr>
          <w:rFonts w:ascii="Arial" w:hAnsi="Arial" w:cs="Arial"/>
          <w:sz w:val="20"/>
          <w:szCs w:val="20"/>
        </w:rPr>
      </w:pPr>
    </w:p>
    <w:p w:rsidR="00A373D8" w:rsidRPr="000E008C" w:rsidRDefault="00A373D8" w:rsidP="000E008C">
      <w:pPr>
        <w:autoSpaceDE w:val="0"/>
        <w:autoSpaceDN w:val="0"/>
        <w:bidi w:val="0"/>
        <w:adjustRightInd w:val="0"/>
        <w:spacing w:after="0" w:line="360" w:lineRule="auto"/>
        <w:jc w:val="both"/>
        <w:rPr>
          <w:rFonts w:ascii="Arial" w:hAnsi="Arial" w:cs="Arial"/>
          <w:sz w:val="20"/>
          <w:szCs w:val="20"/>
        </w:rPr>
      </w:pPr>
    </w:p>
    <w:p w:rsidR="00A373D8" w:rsidRPr="00A373D8" w:rsidRDefault="00A373D8" w:rsidP="00C567D2">
      <w:pPr>
        <w:bidi w:val="0"/>
        <w:spacing w:line="240" w:lineRule="auto"/>
        <w:jc w:val="both"/>
        <w:rPr>
          <w:rFonts w:ascii="Times New Roman" w:eastAsia="Calibri" w:hAnsi="Times New Roman" w:cs="Times New Roman"/>
          <w:b/>
          <w:bCs/>
          <w:i/>
          <w:iCs/>
          <w:sz w:val="24"/>
          <w:szCs w:val="24"/>
        </w:rPr>
      </w:pPr>
    </w:p>
    <w:p w:rsidR="00A373D8" w:rsidRPr="00A373D8" w:rsidRDefault="00A373D8" w:rsidP="00C567D2">
      <w:pPr>
        <w:bidi w:val="0"/>
        <w:spacing w:line="240" w:lineRule="auto"/>
        <w:jc w:val="both"/>
        <w:rPr>
          <w:rFonts w:ascii="Times New Roman" w:eastAsia="Calibri" w:hAnsi="Times New Roman" w:cs="Times New Roman"/>
          <w:b/>
          <w:bCs/>
          <w:i/>
          <w:iCs/>
          <w:sz w:val="24"/>
          <w:szCs w:val="24"/>
        </w:rPr>
      </w:pPr>
    </w:p>
    <w:p w:rsidR="0055007D" w:rsidRPr="0055007D" w:rsidRDefault="0055007D" w:rsidP="00C567D2">
      <w:pPr>
        <w:bidi w:val="0"/>
        <w:spacing w:line="360" w:lineRule="auto"/>
        <w:ind w:firstLine="720"/>
        <w:jc w:val="both"/>
        <w:rPr>
          <w:rFonts w:ascii="Times New Roman" w:eastAsia="Calibri" w:hAnsi="Times New Roman" w:cs="Times New Roman"/>
          <w:sz w:val="24"/>
          <w:szCs w:val="24"/>
        </w:rPr>
      </w:pPr>
    </w:p>
    <w:p w:rsidR="0055007D" w:rsidRPr="00B236B1" w:rsidRDefault="0055007D" w:rsidP="00C567D2">
      <w:pPr>
        <w:bidi w:val="0"/>
        <w:spacing w:after="0" w:line="360" w:lineRule="auto"/>
        <w:jc w:val="both"/>
        <w:rPr>
          <w:rFonts w:ascii="Times New Roman" w:hAnsi="Times New Roman" w:cs="Times New Roman"/>
          <w:sz w:val="24"/>
          <w:szCs w:val="24"/>
          <w:rtl/>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p w:rsidR="000205D9" w:rsidRPr="00B236B1" w:rsidRDefault="000205D9" w:rsidP="00C567D2">
      <w:pPr>
        <w:bidi w:val="0"/>
        <w:rPr>
          <w:sz w:val="24"/>
          <w:szCs w:val="24"/>
          <w:lang w:bidi="ar-EG"/>
        </w:rPr>
      </w:pPr>
    </w:p>
    <w:sectPr w:rsidR="000205D9" w:rsidRPr="00B236B1" w:rsidSect="005E42F6">
      <w:pgSz w:w="11906" w:h="16838"/>
      <w:pgMar w:top="1440" w:right="1800" w:bottom="1440"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73" w:rsidRDefault="00831873" w:rsidP="008A3B33">
      <w:pPr>
        <w:spacing w:after="0" w:line="240" w:lineRule="auto"/>
      </w:pPr>
      <w:r>
        <w:separator/>
      </w:r>
    </w:p>
  </w:endnote>
  <w:endnote w:type="continuationSeparator" w:id="0">
    <w:p w:rsidR="00831873" w:rsidRDefault="00831873" w:rsidP="008A3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73" w:rsidRDefault="00831873" w:rsidP="008A3B33">
      <w:pPr>
        <w:spacing w:after="0" w:line="240" w:lineRule="auto"/>
      </w:pPr>
      <w:r>
        <w:separator/>
      </w:r>
    </w:p>
  </w:footnote>
  <w:footnote w:type="continuationSeparator" w:id="0">
    <w:p w:rsidR="00831873" w:rsidRDefault="00831873" w:rsidP="008A3B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72F15"/>
    <w:multiLevelType w:val="hybridMultilevel"/>
    <w:tmpl w:val="DA40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0254D"/>
    <w:multiLevelType w:val="hybridMultilevel"/>
    <w:tmpl w:val="8EB88D7A"/>
    <w:lvl w:ilvl="0" w:tplc="F0964DD0">
      <w:start w:val="1"/>
      <w:numFmt w:val="bullet"/>
      <w:lvlText w:val="•"/>
      <w:lvlJc w:val="left"/>
      <w:pPr>
        <w:tabs>
          <w:tab w:val="num" w:pos="720"/>
        </w:tabs>
        <w:ind w:left="720" w:hanging="360"/>
      </w:pPr>
      <w:rPr>
        <w:rFonts w:ascii="Times New Roman" w:hAnsi="Times New Roman" w:hint="default"/>
      </w:rPr>
    </w:lvl>
    <w:lvl w:ilvl="1" w:tplc="BE401342" w:tentative="1">
      <w:start w:val="1"/>
      <w:numFmt w:val="bullet"/>
      <w:lvlText w:val="•"/>
      <w:lvlJc w:val="left"/>
      <w:pPr>
        <w:tabs>
          <w:tab w:val="num" w:pos="1440"/>
        </w:tabs>
        <w:ind w:left="1440" w:hanging="360"/>
      </w:pPr>
      <w:rPr>
        <w:rFonts w:ascii="Times New Roman" w:hAnsi="Times New Roman" w:hint="default"/>
      </w:rPr>
    </w:lvl>
    <w:lvl w:ilvl="2" w:tplc="471C8194" w:tentative="1">
      <w:start w:val="1"/>
      <w:numFmt w:val="bullet"/>
      <w:lvlText w:val="•"/>
      <w:lvlJc w:val="left"/>
      <w:pPr>
        <w:tabs>
          <w:tab w:val="num" w:pos="2160"/>
        </w:tabs>
        <w:ind w:left="2160" w:hanging="360"/>
      </w:pPr>
      <w:rPr>
        <w:rFonts w:ascii="Times New Roman" w:hAnsi="Times New Roman" w:hint="default"/>
      </w:rPr>
    </w:lvl>
    <w:lvl w:ilvl="3" w:tplc="7CA66E80" w:tentative="1">
      <w:start w:val="1"/>
      <w:numFmt w:val="bullet"/>
      <w:lvlText w:val="•"/>
      <w:lvlJc w:val="left"/>
      <w:pPr>
        <w:tabs>
          <w:tab w:val="num" w:pos="2880"/>
        </w:tabs>
        <w:ind w:left="2880" w:hanging="360"/>
      </w:pPr>
      <w:rPr>
        <w:rFonts w:ascii="Times New Roman" w:hAnsi="Times New Roman" w:hint="default"/>
      </w:rPr>
    </w:lvl>
    <w:lvl w:ilvl="4" w:tplc="ADD2079C" w:tentative="1">
      <w:start w:val="1"/>
      <w:numFmt w:val="bullet"/>
      <w:lvlText w:val="•"/>
      <w:lvlJc w:val="left"/>
      <w:pPr>
        <w:tabs>
          <w:tab w:val="num" w:pos="3600"/>
        </w:tabs>
        <w:ind w:left="3600" w:hanging="360"/>
      </w:pPr>
      <w:rPr>
        <w:rFonts w:ascii="Times New Roman" w:hAnsi="Times New Roman" w:hint="default"/>
      </w:rPr>
    </w:lvl>
    <w:lvl w:ilvl="5" w:tplc="55A8A6C0" w:tentative="1">
      <w:start w:val="1"/>
      <w:numFmt w:val="bullet"/>
      <w:lvlText w:val="•"/>
      <w:lvlJc w:val="left"/>
      <w:pPr>
        <w:tabs>
          <w:tab w:val="num" w:pos="4320"/>
        </w:tabs>
        <w:ind w:left="4320" w:hanging="360"/>
      </w:pPr>
      <w:rPr>
        <w:rFonts w:ascii="Times New Roman" w:hAnsi="Times New Roman" w:hint="default"/>
      </w:rPr>
    </w:lvl>
    <w:lvl w:ilvl="6" w:tplc="9B20AA88" w:tentative="1">
      <w:start w:val="1"/>
      <w:numFmt w:val="bullet"/>
      <w:lvlText w:val="•"/>
      <w:lvlJc w:val="left"/>
      <w:pPr>
        <w:tabs>
          <w:tab w:val="num" w:pos="5040"/>
        </w:tabs>
        <w:ind w:left="5040" w:hanging="360"/>
      </w:pPr>
      <w:rPr>
        <w:rFonts w:ascii="Times New Roman" w:hAnsi="Times New Roman" w:hint="default"/>
      </w:rPr>
    </w:lvl>
    <w:lvl w:ilvl="7" w:tplc="97E6E9F0" w:tentative="1">
      <w:start w:val="1"/>
      <w:numFmt w:val="bullet"/>
      <w:lvlText w:val="•"/>
      <w:lvlJc w:val="left"/>
      <w:pPr>
        <w:tabs>
          <w:tab w:val="num" w:pos="5760"/>
        </w:tabs>
        <w:ind w:left="5760" w:hanging="360"/>
      </w:pPr>
      <w:rPr>
        <w:rFonts w:ascii="Times New Roman" w:hAnsi="Times New Roman" w:hint="default"/>
      </w:rPr>
    </w:lvl>
    <w:lvl w:ilvl="8" w:tplc="28A820EE" w:tentative="1">
      <w:start w:val="1"/>
      <w:numFmt w:val="bullet"/>
      <w:lvlText w:val="•"/>
      <w:lvlJc w:val="left"/>
      <w:pPr>
        <w:tabs>
          <w:tab w:val="num" w:pos="6480"/>
        </w:tabs>
        <w:ind w:left="6480" w:hanging="360"/>
      </w:pPr>
      <w:rPr>
        <w:rFonts w:ascii="Times New Roman" w:hAnsi="Times New Roman" w:hint="default"/>
      </w:rPr>
    </w:lvl>
  </w:abstractNum>
  <w:abstractNum w:abstractNumId="2">
    <w:nsid w:val="43875DD7"/>
    <w:multiLevelType w:val="hybridMultilevel"/>
    <w:tmpl w:val="1D78DCBC"/>
    <w:lvl w:ilvl="0" w:tplc="0409000B">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C036A3"/>
    <w:multiLevelType w:val="hybridMultilevel"/>
    <w:tmpl w:val="27986976"/>
    <w:lvl w:ilvl="0" w:tplc="04090001">
      <w:start w:val="1"/>
      <w:numFmt w:val="bullet"/>
      <w:lvlText w:val=""/>
      <w:lvlJc w:val="left"/>
      <w:pPr>
        <w:ind w:left="720" w:hanging="360"/>
      </w:pPr>
      <w:rPr>
        <w:rFonts w:ascii="Symbol" w:hAnsi="Symbol" w:hint="default"/>
      </w:rPr>
    </w:lvl>
    <w:lvl w:ilvl="1" w:tplc="4118A72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B40E83"/>
    <w:multiLevelType w:val="hybridMultilevel"/>
    <w:tmpl w:val="D9285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9C6000"/>
    <w:multiLevelType w:val="hybridMultilevel"/>
    <w:tmpl w:val="4A32EBF4"/>
    <w:lvl w:ilvl="0" w:tplc="8444BF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576ED3"/>
    <w:multiLevelType w:val="hybridMultilevel"/>
    <w:tmpl w:val="D1483AE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3E0407"/>
    <w:multiLevelType w:val="hybridMultilevel"/>
    <w:tmpl w:val="CD328158"/>
    <w:lvl w:ilvl="0" w:tplc="A2C29F8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D332AA"/>
    <w:multiLevelType w:val="hybridMultilevel"/>
    <w:tmpl w:val="A8425A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372EBF"/>
    <w:multiLevelType w:val="hybridMultilevel"/>
    <w:tmpl w:val="EE5E4842"/>
    <w:lvl w:ilvl="0" w:tplc="0409000B">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FE73B52"/>
    <w:multiLevelType w:val="hybridMultilevel"/>
    <w:tmpl w:val="D7545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3C2F68"/>
    <w:multiLevelType w:val="hybridMultilevel"/>
    <w:tmpl w:val="B37AC674"/>
    <w:lvl w:ilvl="0" w:tplc="DFFEBA62">
      <w:start w:val="1"/>
      <w:numFmt w:val="decimal"/>
      <w:lvlText w:val="%1."/>
      <w:lvlJc w:val="left"/>
      <w:pPr>
        <w:ind w:left="928" w:hanging="360"/>
      </w:pPr>
      <w:rPr>
        <w:rFonts w:hint="default"/>
        <w:sz w:val="20"/>
        <w:szCs w:val="20"/>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nsid w:val="78594E4E"/>
    <w:multiLevelType w:val="hybridMultilevel"/>
    <w:tmpl w:val="222C42AA"/>
    <w:lvl w:ilvl="0" w:tplc="0409000B">
      <w:start w:val="1"/>
      <w:numFmt w:val="bullet"/>
      <w:lvlText w:val=""/>
      <w:lvlJc w:val="left"/>
      <w:pPr>
        <w:ind w:left="990" w:hanging="360"/>
      </w:pPr>
      <w:rPr>
        <w:rFonts w:ascii="Wingdings" w:hAnsi="Wingdings" w:hint="default"/>
      </w:rPr>
    </w:lvl>
    <w:lvl w:ilvl="1" w:tplc="EB800FCC">
      <w:numFmt w:val="bullet"/>
      <w:lvlText w:val="-"/>
      <w:lvlJc w:val="left"/>
      <w:pPr>
        <w:ind w:left="1710" w:hanging="360"/>
      </w:pPr>
      <w:rPr>
        <w:rFonts w:ascii="Arial" w:eastAsia="Calibri" w:hAnsi="Arial" w:cs="Aria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797C6806"/>
    <w:multiLevelType w:val="hybridMultilevel"/>
    <w:tmpl w:val="8CE0046C"/>
    <w:lvl w:ilvl="0" w:tplc="0409000B">
      <w:start w:val="1"/>
      <w:numFmt w:val="bullet"/>
      <w:lvlText w:val=""/>
      <w:lvlJc w:val="left"/>
      <w:pPr>
        <w:ind w:left="720" w:hanging="360"/>
      </w:pPr>
      <w:rPr>
        <w:rFonts w:ascii="Wingdings" w:hAnsi="Wingding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3"/>
  </w:num>
  <w:num w:numId="4">
    <w:abstractNumId w:val="7"/>
  </w:num>
  <w:num w:numId="5">
    <w:abstractNumId w:val="1"/>
  </w:num>
  <w:num w:numId="6">
    <w:abstractNumId w:val="0"/>
  </w:num>
  <w:num w:numId="7">
    <w:abstractNumId w:val="6"/>
  </w:num>
  <w:num w:numId="8">
    <w:abstractNumId w:val="12"/>
  </w:num>
  <w:num w:numId="9">
    <w:abstractNumId w:val="8"/>
  </w:num>
  <w:num w:numId="10">
    <w:abstractNumId w:val="10"/>
  </w:num>
  <w:num w:numId="11">
    <w:abstractNumId w:val="9"/>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1FEA"/>
    <w:rsid w:val="0000238B"/>
    <w:rsid w:val="000205D9"/>
    <w:rsid w:val="000341F5"/>
    <w:rsid w:val="000427E1"/>
    <w:rsid w:val="0005665D"/>
    <w:rsid w:val="00086CBC"/>
    <w:rsid w:val="00086E8C"/>
    <w:rsid w:val="00091511"/>
    <w:rsid w:val="00097E4A"/>
    <w:rsid w:val="000A06A3"/>
    <w:rsid w:val="000E008C"/>
    <w:rsid w:val="000E61EA"/>
    <w:rsid w:val="001034F0"/>
    <w:rsid w:val="00117DE7"/>
    <w:rsid w:val="0012548F"/>
    <w:rsid w:val="001429A6"/>
    <w:rsid w:val="00143CE2"/>
    <w:rsid w:val="00147AB6"/>
    <w:rsid w:val="00153880"/>
    <w:rsid w:val="0017256E"/>
    <w:rsid w:val="00174482"/>
    <w:rsid w:val="001761AB"/>
    <w:rsid w:val="001835B9"/>
    <w:rsid w:val="00191785"/>
    <w:rsid w:val="001A0437"/>
    <w:rsid w:val="001A4F2D"/>
    <w:rsid w:val="001B09CD"/>
    <w:rsid w:val="001B6163"/>
    <w:rsid w:val="001C192D"/>
    <w:rsid w:val="001D60EC"/>
    <w:rsid w:val="001E78EA"/>
    <w:rsid w:val="001F3183"/>
    <w:rsid w:val="00204EAB"/>
    <w:rsid w:val="00205F3D"/>
    <w:rsid w:val="0025772B"/>
    <w:rsid w:val="002625D5"/>
    <w:rsid w:val="002908AF"/>
    <w:rsid w:val="002A22C6"/>
    <w:rsid w:val="002A5BF3"/>
    <w:rsid w:val="002C1FBA"/>
    <w:rsid w:val="002D2D82"/>
    <w:rsid w:val="002D4D7B"/>
    <w:rsid w:val="002D6FAC"/>
    <w:rsid w:val="002E2AF2"/>
    <w:rsid w:val="002F5F2F"/>
    <w:rsid w:val="002F7E94"/>
    <w:rsid w:val="00314F8F"/>
    <w:rsid w:val="00333AF0"/>
    <w:rsid w:val="0033585F"/>
    <w:rsid w:val="00344665"/>
    <w:rsid w:val="00364E5D"/>
    <w:rsid w:val="003658AF"/>
    <w:rsid w:val="003B4339"/>
    <w:rsid w:val="003B7BAC"/>
    <w:rsid w:val="003C073A"/>
    <w:rsid w:val="003C2DF1"/>
    <w:rsid w:val="003C6F99"/>
    <w:rsid w:val="003D1DF8"/>
    <w:rsid w:val="003D28F2"/>
    <w:rsid w:val="003D3CB7"/>
    <w:rsid w:val="003D52AE"/>
    <w:rsid w:val="003E0D74"/>
    <w:rsid w:val="003E1E80"/>
    <w:rsid w:val="003F4D5C"/>
    <w:rsid w:val="004039EA"/>
    <w:rsid w:val="00412400"/>
    <w:rsid w:val="00447DA7"/>
    <w:rsid w:val="004677C8"/>
    <w:rsid w:val="00481424"/>
    <w:rsid w:val="00487369"/>
    <w:rsid w:val="004932C4"/>
    <w:rsid w:val="004C098D"/>
    <w:rsid w:val="004D153F"/>
    <w:rsid w:val="004D6A57"/>
    <w:rsid w:val="004E33B7"/>
    <w:rsid w:val="004E5032"/>
    <w:rsid w:val="004E689C"/>
    <w:rsid w:val="0050235C"/>
    <w:rsid w:val="005100B8"/>
    <w:rsid w:val="00521FEA"/>
    <w:rsid w:val="00522ADE"/>
    <w:rsid w:val="00523409"/>
    <w:rsid w:val="0055007D"/>
    <w:rsid w:val="00554FEC"/>
    <w:rsid w:val="005772D5"/>
    <w:rsid w:val="00580C08"/>
    <w:rsid w:val="0058555A"/>
    <w:rsid w:val="00591672"/>
    <w:rsid w:val="005A083F"/>
    <w:rsid w:val="005E42F6"/>
    <w:rsid w:val="005F46AF"/>
    <w:rsid w:val="005F66BA"/>
    <w:rsid w:val="006259D0"/>
    <w:rsid w:val="00631AB4"/>
    <w:rsid w:val="00633503"/>
    <w:rsid w:val="00637C6F"/>
    <w:rsid w:val="006534A0"/>
    <w:rsid w:val="00664621"/>
    <w:rsid w:val="00672C4D"/>
    <w:rsid w:val="00673396"/>
    <w:rsid w:val="006934DE"/>
    <w:rsid w:val="006A1A90"/>
    <w:rsid w:val="006A5072"/>
    <w:rsid w:val="006A521E"/>
    <w:rsid w:val="006A776C"/>
    <w:rsid w:val="006C26D7"/>
    <w:rsid w:val="006E03C7"/>
    <w:rsid w:val="00701E7C"/>
    <w:rsid w:val="007134F8"/>
    <w:rsid w:val="00715B43"/>
    <w:rsid w:val="007350D7"/>
    <w:rsid w:val="007414E0"/>
    <w:rsid w:val="00756BE2"/>
    <w:rsid w:val="00760595"/>
    <w:rsid w:val="00764E0E"/>
    <w:rsid w:val="007775B2"/>
    <w:rsid w:val="00785305"/>
    <w:rsid w:val="007901E1"/>
    <w:rsid w:val="007A6886"/>
    <w:rsid w:val="007B2DED"/>
    <w:rsid w:val="007B7463"/>
    <w:rsid w:val="007D6687"/>
    <w:rsid w:val="007F3309"/>
    <w:rsid w:val="007F5C28"/>
    <w:rsid w:val="00831873"/>
    <w:rsid w:val="0085413F"/>
    <w:rsid w:val="00877155"/>
    <w:rsid w:val="0088570D"/>
    <w:rsid w:val="00886584"/>
    <w:rsid w:val="00895E3D"/>
    <w:rsid w:val="008A3B33"/>
    <w:rsid w:val="008A4046"/>
    <w:rsid w:val="008C21A1"/>
    <w:rsid w:val="008F0BAC"/>
    <w:rsid w:val="00903C73"/>
    <w:rsid w:val="00912D33"/>
    <w:rsid w:val="0092067C"/>
    <w:rsid w:val="00947521"/>
    <w:rsid w:val="00950644"/>
    <w:rsid w:val="00956B43"/>
    <w:rsid w:val="00965906"/>
    <w:rsid w:val="00965961"/>
    <w:rsid w:val="009662BD"/>
    <w:rsid w:val="00993112"/>
    <w:rsid w:val="009A6F07"/>
    <w:rsid w:val="009E00B7"/>
    <w:rsid w:val="009E0A21"/>
    <w:rsid w:val="009E1B6B"/>
    <w:rsid w:val="009F2A78"/>
    <w:rsid w:val="009F7B0E"/>
    <w:rsid w:val="00A0059D"/>
    <w:rsid w:val="00A11753"/>
    <w:rsid w:val="00A13437"/>
    <w:rsid w:val="00A373D8"/>
    <w:rsid w:val="00A43EFC"/>
    <w:rsid w:val="00A478B0"/>
    <w:rsid w:val="00A52BE9"/>
    <w:rsid w:val="00A8196E"/>
    <w:rsid w:val="00A837FC"/>
    <w:rsid w:val="00A86CFE"/>
    <w:rsid w:val="00A96416"/>
    <w:rsid w:val="00AB0E91"/>
    <w:rsid w:val="00AB2F42"/>
    <w:rsid w:val="00AB50E7"/>
    <w:rsid w:val="00AE53E1"/>
    <w:rsid w:val="00AF4BA5"/>
    <w:rsid w:val="00B02032"/>
    <w:rsid w:val="00B06D59"/>
    <w:rsid w:val="00B21E3B"/>
    <w:rsid w:val="00B229D3"/>
    <w:rsid w:val="00B232D4"/>
    <w:rsid w:val="00B236B1"/>
    <w:rsid w:val="00B5186C"/>
    <w:rsid w:val="00B5551F"/>
    <w:rsid w:val="00B5570F"/>
    <w:rsid w:val="00B55E90"/>
    <w:rsid w:val="00B645CB"/>
    <w:rsid w:val="00B65DAA"/>
    <w:rsid w:val="00B800EA"/>
    <w:rsid w:val="00B90ACE"/>
    <w:rsid w:val="00B942CE"/>
    <w:rsid w:val="00BB2D35"/>
    <w:rsid w:val="00BB4067"/>
    <w:rsid w:val="00BB6D84"/>
    <w:rsid w:val="00BC3717"/>
    <w:rsid w:val="00C11366"/>
    <w:rsid w:val="00C12880"/>
    <w:rsid w:val="00C14880"/>
    <w:rsid w:val="00C15D35"/>
    <w:rsid w:val="00C20DA1"/>
    <w:rsid w:val="00C35BA0"/>
    <w:rsid w:val="00C52A2F"/>
    <w:rsid w:val="00C56291"/>
    <w:rsid w:val="00C567D2"/>
    <w:rsid w:val="00C615E9"/>
    <w:rsid w:val="00C6402C"/>
    <w:rsid w:val="00C66790"/>
    <w:rsid w:val="00C732B1"/>
    <w:rsid w:val="00C7428F"/>
    <w:rsid w:val="00C818AC"/>
    <w:rsid w:val="00C84BF7"/>
    <w:rsid w:val="00CA6554"/>
    <w:rsid w:val="00CB7632"/>
    <w:rsid w:val="00CE5403"/>
    <w:rsid w:val="00CF0E56"/>
    <w:rsid w:val="00CF5F57"/>
    <w:rsid w:val="00D025C9"/>
    <w:rsid w:val="00D23727"/>
    <w:rsid w:val="00D754E6"/>
    <w:rsid w:val="00D907C8"/>
    <w:rsid w:val="00D97922"/>
    <w:rsid w:val="00DA644A"/>
    <w:rsid w:val="00DB4D35"/>
    <w:rsid w:val="00DE2D79"/>
    <w:rsid w:val="00DF0C78"/>
    <w:rsid w:val="00DF5055"/>
    <w:rsid w:val="00E00211"/>
    <w:rsid w:val="00E0097B"/>
    <w:rsid w:val="00E01460"/>
    <w:rsid w:val="00E52655"/>
    <w:rsid w:val="00E56E37"/>
    <w:rsid w:val="00E76881"/>
    <w:rsid w:val="00EC5816"/>
    <w:rsid w:val="00ED0057"/>
    <w:rsid w:val="00ED6153"/>
    <w:rsid w:val="00EE4E70"/>
    <w:rsid w:val="00EF0FAD"/>
    <w:rsid w:val="00F1771F"/>
    <w:rsid w:val="00F2369E"/>
    <w:rsid w:val="00F321C0"/>
    <w:rsid w:val="00F4338B"/>
    <w:rsid w:val="00F435EA"/>
    <w:rsid w:val="00F576C1"/>
    <w:rsid w:val="00F73017"/>
    <w:rsid w:val="00F74DE4"/>
    <w:rsid w:val="00F8154C"/>
    <w:rsid w:val="00FA6E4F"/>
    <w:rsid w:val="00FB433B"/>
    <w:rsid w:val="00FC27BD"/>
    <w:rsid w:val="00FC5B8B"/>
    <w:rsid w:val="00FC7764"/>
    <w:rsid w:val="00FF3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15:docId w15:val="{14A3F536-CCC9-42E9-8ACD-2FD087BC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3D8"/>
    <w:rPr>
      <w:rFonts w:ascii="Tahoma" w:hAnsi="Tahoma" w:cs="Tahoma"/>
      <w:sz w:val="16"/>
      <w:szCs w:val="16"/>
    </w:rPr>
  </w:style>
  <w:style w:type="paragraph" w:styleId="ListParagraph">
    <w:name w:val="List Paragraph"/>
    <w:basedOn w:val="Normal"/>
    <w:uiPriority w:val="34"/>
    <w:qFormat/>
    <w:rsid w:val="00A96416"/>
    <w:pPr>
      <w:ind w:left="720"/>
      <w:contextualSpacing/>
    </w:pPr>
  </w:style>
  <w:style w:type="table" w:styleId="TableGrid">
    <w:name w:val="Table Grid"/>
    <w:basedOn w:val="TableNormal"/>
    <w:uiPriority w:val="59"/>
    <w:rsid w:val="001B0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B4067"/>
    <w:rPr>
      <w:color w:val="0000FF"/>
      <w:u w:val="single"/>
    </w:rPr>
  </w:style>
  <w:style w:type="character" w:customStyle="1" w:styleId="apple-converted-space">
    <w:name w:val="apple-converted-space"/>
    <w:basedOn w:val="DefaultParagraphFont"/>
    <w:rsid w:val="00BB4067"/>
  </w:style>
  <w:style w:type="paragraph" w:styleId="NoSpacing">
    <w:name w:val="No Spacing"/>
    <w:uiPriority w:val="1"/>
    <w:qFormat/>
    <w:rsid w:val="00BB4067"/>
    <w:pPr>
      <w:bidi/>
      <w:spacing w:after="0" w:line="240" w:lineRule="auto"/>
    </w:pPr>
  </w:style>
  <w:style w:type="table" w:customStyle="1" w:styleId="TableGrid1">
    <w:name w:val="Table Grid1"/>
    <w:basedOn w:val="TableNormal"/>
    <w:next w:val="TableGrid"/>
    <w:rsid w:val="004932C4"/>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A3B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3B33"/>
  </w:style>
  <w:style w:type="paragraph" w:styleId="Footer">
    <w:name w:val="footer"/>
    <w:basedOn w:val="Normal"/>
    <w:link w:val="FooterChar"/>
    <w:uiPriority w:val="99"/>
    <w:semiHidden/>
    <w:unhideWhenUsed/>
    <w:rsid w:val="008A3B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3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379726">
      <w:bodyDiv w:val="1"/>
      <w:marLeft w:val="0"/>
      <w:marRight w:val="0"/>
      <w:marTop w:val="0"/>
      <w:marBottom w:val="0"/>
      <w:divBdr>
        <w:top w:val="none" w:sz="0" w:space="0" w:color="auto"/>
        <w:left w:val="none" w:sz="0" w:space="0" w:color="auto"/>
        <w:bottom w:val="none" w:sz="0" w:space="0" w:color="auto"/>
        <w:right w:val="none" w:sz="0" w:space="0" w:color="auto"/>
      </w:divBdr>
      <w:divsChild>
        <w:div w:id="1577007674">
          <w:marLeft w:val="0"/>
          <w:marRight w:val="547"/>
          <w:marTop w:val="0"/>
          <w:marBottom w:val="0"/>
          <w:divBdr>
            <w:top w:val="none" w:sz="0" w:space="0" w:color="auto"/>
            <w:left w:val="none" w:sz="0" w:space="0" w:color="auto"/>
            <w:bottom w:val="none" w:sz="0" w:space="0" w:color="auto"/>
            <w:right w:val="none" w:sz="0" w:space="0" w:color="auto"/>
          </w:divBdr>
        </w:div>
        <w:div w:id="1529180506">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3766150/" TargetMode="External"/><Relationship Id="rId13" Type="http://schemas.microsoft.com/office/2007/relationships/diagramDrawing" Target="diagrams/drawing1.xml"/><Relationship Id="rId18" Type="http://schemas.openxmlformats.org/officeDocument/2006/relationships/hyperlink" Target="http://www.ncbi.nlm.nih.gov/pubmed/22933429" TargetMode="External"/><Relationship Id="rId3" Type="http://schemas.openxmlformats.org/officeDocument/2006/relationships/styles" Target="styles.xml"/><Relationship Id="rId21" Type="http://schemas.openxmlformats.org/officeDocument/2006/relationships/hyperlink" Target="http://www.ncbi.nlm.nih.gov/pubmed?term=Yin%20X%5BAuthor%5D&amp;cauthor=true&amp;cauthor_uid=21206918"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ncbi.nlm.nih.gov/pubmed?term=Fischer-Rosinsky%20A%5BAuthor%5D&amp;cauthor=true&amp;cauthor_uid=2293342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Schwarz%20F%5BAuthor%5D&amp;cauthor=true&amp;cauthor_uid=22933429" TargetMode="External"/><Relationship Id="rId20" Type="http://schemas.openxmlformats.org/officeDocument/2006/relationships/hyperlink" Target="http://www.ncbi.nlm.nih.gov/pubmed?term=Wu%20Z%5BAuthor%5D&amp;cauthor=true&amp;cauthor_uid=21206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term=Bobbert%20T%5BAuthor%5D&amp;cauthor=true&amp;cauthor_uid=22933429" TargetMode="External"/><Relationship Id="rId23" Type="http://schemas.openxmlformats.org/officeDocument/2006/relationships/hyperlink" Target="http://www.ncbi.nlm.nih.gov/pubmed/14988838" TargetMode="External"/><Relationship Id="rId10" Type="http://schemas.openxmlformats.org/officeDocument/2006/relationships/diagramLayout" Target="diagrams/layout1.xml"/><Relationship Id="rId19" Type="http://schemas.openxmlformats.org/officeDocument/2006/relationships/hyperlink" Target="http://www.ncbi.nlm.nih.gov/pubmed?term=Lin%20Z%5BAuthor%5D&amp;cauthor=true&amp;cauthor_uid=21206918"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yperlink" Target="http://www.ncbi.nlm.nih.gov/pubmed/21206918?dopt=Abstrac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3F9B89-1CEF-4934-BA10-167BA60C7B0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pPr rtl="1"/>
          <a:endParaRPr lang="ar-SA"/>
        </a:p>
      </dgm:t>
    </dgm:pt>
    <dgm:pt modelId="{4A26518D-01DC-463D-AFF8-E1B4F174F893}">
      <dgm:prSet phldrT="[Text]"/>
      <dgm:spPr/>
      <dgm:t>
        <a:bodyPr/>
        <a:lstStyle/>
        <a:p>
          <a:pPr rtl="1"/>
          <a:r>
            <a:rPr lang="en-US" b="1"/>
            <a:t>Group (C)</a:t>
          </a:r>
        </a:p>
        <a:p>
          <a:pPr rtl="1"/>
          <a:r>
            <a:rPr lang="en-US" b="1"/>
            <a:t>10 patients with normal coronary </a:t>
          </a:r>
          <a:endParaRPr lang="ar-SA" b="1"/>
        </a:p>
      </dgm:t>
    </dgm:pt>
    <dgm:pt modelId="{EBE4B33F-B4DF-4452-ACE1-A66C047FADB1}" type="parTrans" cxnId="{D2F7E116-2BA6-4206-A419-A1BA2AEEC93D}">
      <dgm:prSet/>
      <dgm:spPr/>
      <dgm:t>
        <a:bodyPr/>
        <a:lstStyle/>
        <a:p>
          <a:pPr rtl="1"/>
          <a:endParaRPr lang="ar-SA"/>
        </a:p>
      </dgm:t>
    </dgm:pt>
    <dgm:pt modelId="{16F393E6-3E65-48A6-9910-42532370EFFE}" type="sibTrans" cxnId="{D2F7E116-2BA6-4206-A419-A1BA2AEEC93D}">
      <dgm:prSet/>
      <dgm:spPr/>
      <dgm:t>
        <a:bodyPr/>
        <a:lstStyle/>
        <a:p>
          <a:pPr rtl="1"/>
          <a:endParaRPr lang="ar-SA"/>
        </a:p>
      </dgm:t>
    </dgm:pt>
    <dgm:pt modelId="{08CD6A17-BAFC-497B-AA7D-13DDFB8C9E36}">
      <dgm:prSet phldrT="[Text]"/>
      <dgm:spPr/>
      <dgm:t>
        <a:bodyPr/>
        <a:lstStyle/>
        <a:p>
          <a:pPr rtl="1"/>
          <a:r>
            <a:rPr lang="en-US" b="1"/>
            <a:t>Group (B)</a:t>
          </a:r>
        </a:p>
        <a:p>
          <a:pPr rtl="1"/>
          <a:r>
            <a:rPr lang="ar-EG" b="0"/>
            <a:t> </a:t>
          </a:r>
          <a:r>
            <a:rPr lang="en-US" b="0"/>
            <a:t>  </a:t>
          </a:r>
          <a:r>
            <a:rPr lang="en-US" b="1"/>
            <a:t>45 patients had coronary lesion</a:t>
          </a:r>
          <a:endParaRPr lang="ar-SA" b="1"/>
        </a:p>
      </dgm:t>
    </dgm:pt>
    <dgm:pt modelId="{6F07704C-177D-4ED1-8155-97AC2A2C7FCF}" type="parTrans" cxnId="{2D951C25-D4FC-4B79-8A84-CFD3AD3AB2F0}">
      <dgm:prSet/>
      <dgm:spPr/>
      <dgm:t>
        <a:bodyPr/>
        <a:lstStyle/>
        <a:p>
          <a:pPr rtl="1"/>
          <a:endParaRPr lang="ar-SA"/>
        </a:p>
      </dgm:t>
    </dgm:pt>
    <dgm:pt modelId="{BA36441F-F8A0-4621-8FCC-EB9DA885C558}" type="sibTrans" cxnId="{2D951C25-D4FC-4B79-8A84-CFD3AD3AB2F0}">
      <dgm:prSet/>
      <dgm:spPr/>
      <dgm:t>
        <a:bodyPr/>
        <a:lstStyle/>
        <a:p>
          <a:pPr rtl="1"/>
          <a:endParaRPr lang="ar-SA"/>
        </a:p>
      </dgm:t>
    </dgm:pt>
    <dgm:pt modelId="{C831578E-A6FE-44C0-B873-B0920B4676CA}">
      <dgm:prSet phldrT="[Text]"/>
      <dgm:spPr/>
      <dgm:t>
        <a:bodyPr/>
        <a:lstStyle/>
        <a:p>
          <a:pPr algn="l" rtl="1"/>
          <a:r>
            <a:rPr lang="en-US"/>
            <a:t>15  Patients had neigther</a:t>
          </a:r>
          <a:r>
            <a:rPr lang="ar-EG"/>
            <a:t> </a:t>
          </a:r>
          <a:r>
            <a:rPr lang="en-US"/>
            <a:t> </a:t>
          </a:r>
        </a:p>
        <a:p>
          <a:pPr algn="l" rtl="1"/>
          <a:r>
            <a:rPr lang="en-US"/>
            <a:t>DM nor HTN</a:t>
          </a:r>
        </a:p>
      </dgm:t>
    </dgm:pt>
    <dgm:pt modelId="{E2C32050-E91D-43FD-AE64-96FD8E93CA5F}" type="parTrans" cxnId="{356CA2C3-CC54-4CF9-B31E-E2F8EFD19499}">
      <dgm:prSet/>
      <dgm:spPr/>
      <dgm:t>
        <a:bodyPr/>
        <a:lstStyle/>
        <a:p>
          <a:pPr rtl="1"/>
          <a:endParaRPr lang="ar-SA"/>
        </a:p>
      </dgm:t>
    </dgm:pt>
    <dgm:pt modelId="{6EB3001C-1D5A-40B4-A434-3E75704517E9}" type="sibTrans" cxnId="{356CA2C3-CC54-4CF9-B31E-E2F8EFD19499}">
      <dgm:prSet/>
      <dgm:spPr/>
      <dgm:t>
        <a:bodyPr/>
        <a:lstStyle/>
        <a:p>
          <a:pPr rtl="1"/>
          <a:endParaRPr lang="ar-SA"/>
        </a:p>
      </dgm:t>
    </dgm:pt>
    <dgm:pt modelId="{273EA4D7-04E3-4CCD-AA62-2EDC1B724917}">
      <dgm:prSet phldrT="[Text]" custT="1"/>
      <dgm:spPr/>
      <dgm:t>
        <a:bodyPr/>
        <a:lstStyle/>
        <a:p>
          <a:pPr rtl="1"/>
          <a:r>
            <a:rPr lang="en-US" sz="1100" b="1"/>
            <a:t>Group (A)</a:t>
          </a:r>
          <a:endParaRPr lang="ar-EG" sz="1100" b="1"/>
        </a:p>
        <a:p>
          <a:pPr rtl="1"/>
          <a:r>
            <a:rPr lang="en-US" sz="1100" b="1"/>
            <a:t>15 patients  had coronary  lesion</a:t>
          </a:r>
          <a:endParaRPr lang="ar-SA" sz="1100" b="1"/>
        </a:p>
      </dgm:t>
    </dgm:pt>
    <dgm:pt modelId="{AF6F47AB-69BB-48A7-8A27-72DFCDEA8D02}" type="parTrans" cxnId="{5DC20856-E64F-43B8-B62E-1479EE98B387}">
      <dgm:prSet/>
      <dgm:spPr/>
      <dgm:t>
        <a:bodyPr/>
        <a:lstStyle/>
        <a:p>
          <a:pPr rtl="1"/>
          <a:endParaRPr lang="ar-SA"/>
        </a:p>
      </dgm:t>
    </dgm:pt>
    <dgm:pt modelId="{0778E768-0F58-42E8-B5C7-A5BD1925DE2B}" type="sibTrans" cxnId="{5DC20856-E64F-43B8-B62E-1479EE98B387}">
      <dgm:prSet/>
      <dgm:spPr/>
      <dgm:t>
        <a:bodyPr/>
        <a:lstStyle/>
        <a:p>
          <a:pPr rtl="1"/>
          <a:endParaRPr lang="ar-SA"/>
        </a:p>
      </dgm:t>
    </dgm:pt>
    <dgm:pt modelId="{1D7655F7-7380-4629-B455-28E821AD3D76}">
      <dgm:prSet phldrT="[Text]"/>
      <dgm:spPr/>
      <dgm:t>
        <a:bodyPr/>
        <a:lstStyle/>
        <a:p>
          <a:pPr rtl="1"/>
          <a:r>
            <a:rPr lang="en-US"/>
            <a:t>55 pateints had   DM &amp;or HTN</a:t>
          </a:r>
          <a:endParaRPr lang="ar-SA"/>
        </a:p>
      </dgm:t>
    </dgm:pt>
    <dgm:pt modelId="{42D4E633-F2E2-471C-B368-CC61C5B59558}" type="sibTrans" cxnId="{7FEC0473-7599-4183-B50D-FACA882BEBA1}">
      <dgm:prSet/>
      <dgm:spPr/>
      <dgm:t>
        <a:bodyPr/>
        <a:lstStyle/>
        <a:p>
          <a:pPr rtl="1"/>
          <a:endParaRPr lang="ar-SA"/>
        </a:p>
      </dgm:t>
    </dgm:pt>
    <dgm:pt modelId="{C9EEDCBE-0C4C-44E9-AEFC-8A88F371877E}" type="parTrans" cxnId="{7FEC0473-7599-4183-B50D-FACA882BEBA1}">
      <dgm:prSet/>
      <dgm:spPr/>
      <dgm:t>
        <a:bodyPr/>
        <a:lstStyle/>
        <a:p>
          <a:pPr rtl="1"/>
          <a:endParaRPr lang="ar-SA"/>
        </a:p>
      </dgm:t>
    </dgm:pt>
    <dgm:pt modelId="{A7CD55FF-B855-49E8-89AB-4E0CC2CF4A64}">
      <dgm:prSet phldrT="[Text]"/>
      <dgm:spPr/>
      <dgm:t>
        <a:bodyPr/>
        <a:lstStyle/>
        <a:p>
          <a:pPr rtl="1"/>
          <a:r>
            <a:rPr lang="en-US" b="1">
              <a:cs typeface="+mj-cs"/>
            </a:rPr>
            <a:t>70 patients eligible for coronary angiography</a:t>
          </a:r>
          <a:endParaRPr lang="ar-SA" b="1">
            <a:cs typeface="+mj-cs"/>
          </a:endParaRPr>
        </a:p>
      </dgm:t>
    </dgm:pt>
    <dgm:pt modelId="{102E602F-1588-4023-9196-CCE4EF989901}" type="sibTrans" cxnId="{DA127CAF-082C-4E84-8A81-54132620F715}">
      <dgm:prSet/>
      <dgm:spPr/>
      <dgm:t>
        <a:bodyPr/>
        <a:lstStyle/>
        <a:p>
          <a:pPr rtl="1"/>
          <a:endParaRPr lang="ar-SA"/>
        </a:p>
      </dgm:t>
    </dgm:pt>
    <dgm:pt modelId="{0D2537B3-473C-4E06-ACAD-16CC20CF3DF0}" type="parTrans" cxnId="{DA127CAF-082C-4E84-8A81-54132620F715}">
      <dgm:prSet/>
      <dgm:spPr/>
      <dgm:t>
        <a:bodyPr/>
        <a:lstStyle/>
        <a:p>
          <a:pPr rtl="1"/>
          <a:endParaRPr lang="ar-SA"/>
        </a:p>
      </dgm:t>
    </dgm:pt>
    <dgm:pt modelId="{FB99B204-C43C-42B6-8E9D-49270CF359DC}" type="pres">
      <dgm:prSet presAssocID="{7A3F9B89-1CEF-4934-BA10-167BA60C7B0E}" presName="mainComposite" presStyleCnt="0">
        <dgm:presLayoutVars>
          <dgm:chPref val="1"/>
          <dgm:dir/>
          <dgm:animOne val="branch"/>
          <dgm:animLvl val="lvl"/>
          <dgm:resizeHandles val="exact"/>
        </dgm:presLayoutVars>
      </dgm:prSet>
      <dgm:spPr/>
      <dgm:t>
        <a:bodyPr/>
        <a:lstStyle/>
        <a:p>
          <a:pPr rtl="1"/>
          <a:endParaRPr lang="ar-SA"/>
        </a:p>
      </dgm:t>
    </dgm:pt>
    <dgm:pt modelId="{6204D1D7-75BE-44BA-8406-FC9B4B32B3E4}" type="pres">
      <dgm:prSet presAssocID="{7A3F9B89-1CEF-4934-BA10-167BA60C7B0E}" presName="hierFlow" presStyleCnt="0"/>
      <dgm:spPr/>
    </dgm:pt>
    <dgm:pt modelId="{6ED64FD7-D04A-4345-B920-930803D22D8D}" type="pres">
      <dgm:prSet presAssocID="{7A3F9B89-1CEF-4934-BA10-167BA60C7B0E}" presName="hierChild1" presStyleCnt="0">
        <dgm:presLayoutVars>
          <dgm:chPref val="1"/>
          <dgm:animOne val="branch"/>
          <dgm:animLvl val="lvl"/>
        </dgm:presLayoutVars>
      </dgm:prSet>
      <dgm:spPr/>
    </dgm:pt>
    <dgm:pt modelId="{937495CE-65B8-4935-9D95-5BE95A63503C}" type="pres">
      <dgm:prSet presAssocID="{A7CD55FF-B855-49E8-89AB-4E0CC2CF4A64}" presName="Name14" presStyleCnt="0"/>
      <dgm:spPr/>
    </dgm:pt>
    <dgm:pt modelId="{0783A155-833A-4251-B6E8-78F94F53E125}" type="pres">
      <dgm:prSet presAssocID="{A7CD55FF-B855-49E8-89AB-4E0CC2CF4A64}" presName="level1Shape" presStyleLbl="node0" presStyleIdx="0" presStyleCnt="1">
        <dgm:presLayoutVars>
          <dgm:chPref val="3"/>
        </dgm:presLayoutVars>
      </dgm:prSet>
      <dgm:spPr/>
      <dgm:t>
        <a:bodyPr/>
        <a:lstStyle/>
        <a:p>
          <a:pPr rtl="1"/>
          <a:endParaRPr lang="ar-SA"/>
        </a:p>
      </dgm:t>
    </dgm:pt>
    <dgm:pt modelId="{E39DE395-C278-4E74-B499-1CACCF8D30F1}" type="pres">
      <dgm:prSet presAssocID="{A7CD55FF-B855-49E8-89AB-4E0CC2CF4A64}" presName="hierChild2" presStyleCnt="0"/>
      <dgm:spPr/>
    </dgm:pt>
    <dgm:pt modelId="{A8045E5F-10C7-40BA-A39F-AC2D3C18FC0D}" type="pres">
      <dgm:prSet presAssocID="{C9EEDCBE-0C4C-44E9-AEFC-8A88F371877E}" presName="Name19" presStyleLbl="parChTrans1D2" presStyleIdx="0" presStyleCnt="2"/>
      <dgm:spPr/>
      <dgm:t>
        <a:bodyPr/>
        <a:lstStyle/>
        <a:p>
          <a:pPr rtl="1"/>
          <a:endParaRPr lang="ar-SA"/>
        </a:p>
      </dgm:t>
    </dgm:pt>
    <dgm:pt modelId="{402591C9-117C-43F0-8941-B548A47DF6C2}" type="pres">
      <dgm:prSet presAssocID="{1D7655F7-7380-4629-B455-28E821AD3D76}" presName="Name21" presStyleCnt="0"/>
      <dgm:spPr/>
    </dgm:pt>
    <dgm:pt modelId="{C0A3B581-1413-4A75-B755-A4F118B02A51}" type="pres">
      <dgm:prSet presAssocID="{1D7655F7-7380-4629-B455-28E821AD3D76}" presName="level2Shape" presStyleLbl="node2" presStyleIdx="0" presStyleCnt="2"/>
      <dgm:spPr/>
      <dgm:t>
        <a:bodyPr/>
        <a:lstStyle/>
        <a:p>
          <a:pPr rtl="1"/>
          <a:endParaRPr lang="ar-SA"/>
        </a:p>
      </dgm:t>
    </dgm:pt>
    <dgm:pt modelId="{98967559-E995-43A9-975A-5E4B864C769E}" type="pres">
      <dgm:prSet presAssocID="{1D7655F7-7380-4629-B455-28E821AD3D76}" presName="hierChild3" presStyleCnt="0"/>
      <dgm:spPr/>
    </dgm:pt>
    <dgm:pt modelId="{E0D998D1-D539-4356-A9D9-517EC4729BAA}" type="pres">
      <dgm:prSet presAssocID="{EBE4B33F-B4DF-4452-ACE1-A66C047FADB1}" presName="Name19" presStyleLbl="parChTrans1D3" presStyleIdx="0" presStyleCnt="3"/>
      <dgm:spPr/>
      <dgm:t>
        <a:bodyPr/>
        <a:lstStyle/>
        <a:p>
          <a:pPr rtl="1"/>
          <a:endParaRPr lang="ar-SA"/>
        </a:p>
      </dgm:t>
    </dgm:pt>
    <dgm:pt modelId="{D34AE797-A6D5-480A-BF20-124FAC6569F8}" type="pres">
      <dgm:prSet presAssocID="{4A26518D-01DC-463D-AFF8-E1B4F174F893}" presName="Name21" presStyleCnt="0"/>
      <dgm:spPr/>
    </dgm:pt>
    <dgm:pt modelId="{9106B67E-6760-4FAE-8CAD-ABA54200449C}" type="pres">
      <dgm:prSet presAssocID="{4A26518D-01DC-463D-AFF8-E1B4F174F893}" presName="level2Shape" presStyleLbl="node3" presStyleIdx="0" presStyleCnt="3"/>
      <dgm:spPr/>
      <dgm:t>
        <a:bodyPr/>
        <a:lstStyle/>
        <a:p>
          <a:pPr rtl="1"/>
          <a:endParaRPr lang="ar-SA"/>
        </a:p>
      </dgm:t>
    </dgm:pt>
    <dgm:pt modelId="{8CFA1524-3A08-4B7B-98AE-610270C7A308}" type="pres">
      <dgm:prSet presAssocID="{4A26518D-01DC-463D-AFF8-E1B4F174F893}" presName="hierChild3" presStyleCnt="0"/>
      <dgm:spPr/>
    </dgm:pt>
    <dgm:pt modelId="{09868F3A-C60A-4EAE-A14C-2037EBC252D0}" type="pres">
      <dgm:prSet presAssocID="{6F07704C-177D-4ED1-8155-97AC2A2C7FCF}" presName="Name19" presStyleLbl="parChTrans1D3" presStyleIdx="1" presStyleCnt="3"/>
      <dgm:spPr/>
      <dgm:t>
        <a:bodyPr/>
        <a:lstStyle/>
        <a:p>
          <a:pPr rtl="1"/>
          <a:endParaRPr lang="ar-SA"/>
        </a:p>
      </dgm:t>
    </dgm:pt>
    <dgm:pt modelId="{C079A306-F31F-46A0-ACF3-70E9CDD17FE2}" type="pres">
      <dgm:prSet presAssocID="{08CD6A17-BAFC-497B-AA7D-13DDFB8C9E36}" presName="Name21" presStyleCnt="0"/>
      <dgm:spPr/>
    </dgm:pt>
    <dgm:pt modelId="{83C00ED8-B4FA-4146-995A-C53F3050E618}" type="pres">
      <dgm:prSet presAssocID="{08CD6A17-BAFC-497B-AA7D-13DDFB8C9E36}" presName="level2Shape" presStyleLbl="node3" presStyleIdx="1" presStyleCnt="3"/>
      <dgm:spPr/>
      <dgm:t>
        <a:bodyPr/>
        <a:lstStyle/>
        <a:p>
          <a:pPr rtl="1"/>
          <a:endParaRPr lang="ar-SA"/>
        </a:p>
      </dgm:t>
    </dgm:pt>
    <dgm:pt modelId="{5CB70EE2-81C9-483F-B06F-9763D80805A7}" type="pres">
      <dgm:prSet presAssocID="{08CD6A17-BAFC-497B-AA7D-13DDFB8C9E36}" presName="hierChild3" presStyleCnt="0"/>
      <dgm:spPr/>
    </dgm:pt>
    <dgm:pt modelId="{5D37C756-882E-4FBA-91FC-1947FF760E1E}" type="pres">
      <dgm:prSet presAssocID="{E2C32050-E91D-43FD-AE64-96FD8E93CA5F}" presName="Name19" presStyleLbl="parChTrans1D2" presStyleIdx="1" presStyleCnt="2"/>
      <dgm:spPr/>
      <dgm:t>
        <a:bodyPr/>
        <a:lstStyle/>
        <a:p>
          <a:pPr rtl="1"/>
          <a:endParaRPr lang="ar-SA"/>
        </a:p>
      </dgm:t>
    </dgm:pt>
    <dgm:pt modelId="{B3273005-B90E-4B32-B1CF-ED188BBB12AB}" type="pres">
      <dgm:prSet presAssocID="{C831578E-A6FE-44C0-B873-B0920B4676CA}" presName="Name21" presStyleCnt="0"/>
      <dgm:spPr/>
    </dgm:pt>
    <dgm:pt modelId="{B1AE550F-71BB-497E-9227-5C86129CA515}" type="pres">
      <dgm:prSet presAssocID="{C831578E-A6FE-44C0-B873-B0920B4676CA}" presName="level2Shape" presStyleLbl="node2" presStyleIdx="1" presStyleCnt="2"/>
      <dgm:spPr/>
      <dgm:t>
        <a:bodyPr/>
        <a:lstStyle/>
        <a:p>
          <a:pPr rtl="1"/>
          <a:endParaRPr lang="ar-SA"/>
        </a:p>
      </dgm:t>
    </dgm:pt>
    <dgm:pt modelId="{CB70A61C-D301-4763-BDC6-DA9C2027B24A}" type="pres">
      <dgm:prSet presAssocID="{C831578E-A6FE-44C0-B873-B0920B4676CA}" presName="hierChild3" presStyleCnt="0"/>
      <dgm:spPr/>
    </dgm:pt>
    <dgm:pt modelId="{7932F743-1A39-4842-82A6-148FE75E004F}" type="pres">
      <dgm:prSet presAssocID="{AF6F47AB-69BB-48A7-8A27-72DFCDEA8D02}" presName="Name19" presStyleLbl="parChTrans1D3" presStyleIdx="2" presStyleCnt="3"/>
      <dgm:spPr/>
      <dgm:t>
        <a:bodyPr/>
        <a:lstStyle/>
        <a:p>
          <a:pPr rtl="1"/>
          <a:endParaRPr lang="ar-SA"/>
        </a:p>
      </dgm:t>
    </dgm:pt>
    <dgm:pt modelId="{6B45956D-5DDE-460F-BE40-463292CA7B02}" type="pres">
      <dgm:prSet presAssocID="{273EA4D7-04E3-4CCD-AA62-2EDC1B724917}" presName="Name21" presStyleCnt="0"/>
      <dgm:spPr/>
    </dgm:pt>
    <dgm:pt modelId="{3E73FFAD-2B71-49E4-BD11-7E7C0E251ED1}" type="pres">
      <dgm:prSet presAssocID="{273EA4D7-04E3-4CCD-AA62-2EDC1B724917}" presName="level2Shape" presStyleLbl="node3" presStyleIdx="2" presStyleCnt="3"/>
      <dgm:spPr/>
      <dgm:t>
        <a:bodyPr/>
        <a:lstStyle/>
        <a:p>
          <a:pPr rtl="1"/>
          <a:endParaRPr lang="ar-SA"/>
        </a:p>
      </dgm:t>
    </dgm:pt>
    <dgm:pt modelId="{C134E08F-F34A-4D30-944F-3FBDE37B21F9}" type="pres">
      <dgm:prSet presAssocID="{273EA4D7-04E3-4CCD-AA62-2EDC1B724917}" presName="hierChild3" presStyleCnt="0"/>
      <dgm:spPr/>
    </dgm:pt>
    <dgm:pt modelId="{85120349-6BA5-4682-8B88-3F8AF993015A}" type="pres">
      <dgm:prSet presAssocID="{7A3F9B89-1CEF-4934-BA10-167BA60C7B0E}" presName="bgShapesFlow" presStyleCnt="0"/>
      <dgm:spPr/>
    </dgm:pt>
  </dgm:ptLst>
  <dgm:cxnLst>
    <dgm:cxn modelId="{5DC20856-E64F-43B8-B62E-1479EE98B387}" srcId="{C831578E-A6FE-44C0-B873-B0920B4676CA}" destId="{273EA4D7-04E3-4CCD-AA62-2EDC1B724917}" srcOrd="0" destOrd="0" parTransId="{AF6F47AB-69BB-48A7-8A27-72DFCDEA8D02}" sibTransId="{0778E768-0F58-42E8-B5C7-A5BD1925DE2B}"/>
    <dgm:cxn modelId="{9D8D57ED-EA28-4165-84F4-4CF42E39AD82}" type="presOf" srcId="{EBE4B33F-B4DF-4452-ACE1-A66C047FADB1}" destId="{E0D998D1-D539-4356-A9D9-517EC4729BAA}" srcOrd="0" destOrd="0" presId="urn:microsoft.com/office/officeart/2005/8/layout/hierarchy6"/>
    <dgm:cxn modelId="{63DFC531-889F-4D47-AA5A-803E955353B6}" type="presOf" srcId="{E2C32050-E91D-43FD-AE64-96FD8E93CA5F}" destId="{5D37C756-882E-4FBA-91FC-1947FF760E1E}" srcOrd="0" destOrd="0" presId="urn:microsoft.com/office/officeart/2005/8/layout/hierarchy6"/>
    <dgm:cxn modelId="{BAEFE2AB-33BF-4DCF-A827-556EA006F5C3}" type="presOf" srcId="{4A26518D-01DC-463D-AFF8-E1B4F174F893}" destId="{9106B67E-6760-4FAE-8CAD-ABA54200449C}" srcOrd="0" destOrd="0" presId="urn:microsoft.com/office/officeart/2005/8/layout/hierarchy6"/>
    <dgm:cxn modelId="{547118AA-B281-4B79-BA1A-1A1DCCDEB178}" type="presOf" srcId="{7A3F9B89-1CEF-4934-BA10-167BA60C7B0E}" destId="{FB99B204-C43C-42B6-8E9D-49270CF359DC}" srcOrd="0" destOrd="0" presId="urn:microsoft.com/office/officeart/2005/8/layout/hierarchy6"/>
    <dgm:cxn modelId="{5F1C6C0D-DBD3-4398-90C1-6CFF861B9C03}" type="presOf" srcId="{273EA4D7-04E3-4CCD-AA62-2EDC1B724917}" destId="{3E73FFAD-2B71-49E4-BD11-7E7C0E251ED1}" srcOrd="0" destOrd="0" presId="urn:microsoft.com/office/officeart/2005/8/layout/hierarchy6"/>
    <dgm:cxn modelId="{2301A084-3161-42A5-B143-6624FC0D0DD5}" type="presOf" srcId="{1D7655F7-7380-4629-B455-28E821AD3D76}" destId="{C0A3B581-1413-4A75-B755-A4F118B02A51}" srcOrd="0" destOrd="0" presId="urn:microsoft.com/office/officeart/2005/8/layout/hierarchy6"/>
    <dgm:cxn modelId="{13F33D77-2FB3-4D9B-A374-65F6C7550E74}" type="presOf" srcId="{08CD6A17-BAFC-497B-AA7D-13DDFB8C9E36}" destId="{83C00ED8-B4FA-4146-995A-C53F3050E618}" srcOrd="0" destOrd="0" presId="urn:microsoft.com/office/officeart/2005/8/layout/hierarchy6"/>
    <dgm:cxn modelId="{DA127CAF-082C-4E84-8A81-54132620F715}" srcId="{7A3F9B89-1CEF-4934-BA10-167BA60C7B0E}" destId="{A7CD55FF-B855-49E8-89AB-4E0CC2CF4A64}" srcOrd="0" destOrd="0" parTransId="{0D2537B3-473C-4E06-ACAD-16CC20CF3DF0}" sibTransId="{102E602F-1588-4023-9196-CCE4EF989901}"/>
    <dgm:cxn modelId="{2D951C25-D4FC-4B79-8A84-CFD3AD3AB2F0}" srcId="{1D7655F7-7380-4629-B455-28E821AD3D76}" destId="{08CD6A17-BAFC-497B-AA7D-13DDFB8C9E36}" srcOrd="1" destOrd="0" parTransId="{6F07704C-177D-4ED1-8155-97AC2A2C7FCF}" sibTransId="{BA36441F-F8A0-4621-8FCC-EB9DA885C558}"/>
    <dgm:cxn modelId="{D2F7E116-2BA6-4206-A419-A1BA2AEEC93D}" srcId="{1D7655F7-7380-4629-B455-28E821AD3D76}" destId="{4A26518D-01DC-463D-AFF8-E1B4F174F893}" srcOrd="0" destOrd="0" parTransId="{EBE4B33F-B4DF-4452-ACE1-A66C047FADB1}" sibTransId="{16F393E6-3E65-48A6-9910-42532370EFFE}"/>
    <dgm:cxn modelId="{3886FB54-21A7-4D82-A0E5-7ECF566F7A00}" type="presOf" srcId="{C831578E-A6FE-44C0-B873-B0920B4676CA}" destId="{B1AE550F-71BB-497E-9227-5C86129CA515}" srcOrd="0" destOrd="0" presId="urn:microsoft.com/office/officeart/2005/8/layout/hierarchy6"/>
    <dgm:cxn modelId="{356CA2C3-CC54-4CF9-B31E-E2F8EFD19499}" srcId="{A7CD55FF-B855-49E8-89AB-4E0CC2CF4A64}" destId="{C831578E-A6FE-44C0-B873-B0920B4676CA}" srcOrd="1" destOrd="0" parTransId="{E2C32050-E91D-43FD-AE64-96FD8E93CA5F}" sibTransId="{6EB3001C-1D5A-40B4-A434-3E75704517E9}"/>
    <dgm:cxn modelId="{D8DC52A4-6C15-45E6-8FB2-DB59E09092C1}" type="presOf" srcId="{A7CD55FF-B855-49E8-89AB-4E0CC2CF4A64}" destId="{0783A155-833A-4251-B6E8-78F94F53E125}" srcOrd="0" destOrd="0" presId="urn:microsoft.com/office/officeart/2005/8/layout/hierarchy6"/>
    <dgm:cxn modelId="{7FEC0473-7599-4183-B50D-FACA882BEBA1}" srcId="{A7CD55FF-B855-49E8-89AB-4E0CC2CF4A64}" destId="{1D7655F7-7380-4629-B455-28E821AD3D76}" srcOrd="0" destOrd="0" parTransId="{C9EEDCBE-0C4C-44E9-AEFC-8A88F371877E}" sibTransId="{42D4E633-F2E2-471C-B368-CC61C5B59558}"/>
    <dgm:cxn modelId="{0B8475AD-FE61-4360-8254-14E566AB5E2E}" type="presOf" srcId="{AF6F47AB-69BB-48A7-8A27-72DFCDEA8D02}" destId="{7932F743-1A39-4842-82A6-148FE75E004F}" srcOrd="0" destOrd="0" presId="urn:microsoft.com/office/officeart/2005/8/layout/hierarchy6"/>
    <dgm:cxn modelId="{D24AA93F-18E0-4275-B6F4-6B91FBE569DF}" type="presOf" srcId="{6F07704C-177D-4ED1-8155-97AC2A2C7FCF}" destId="{09868F3A-C60A-4EAE-A14C-2037EBC252D0}" srcOrd="0" destOrd="0" presId="urn:microsoft.com/office/officeart/2005/8/layout/hierarchy6"/>
    <dgm:cxn modelId="{F285E898-5259-4C0A-9483-3DE5FFAC49E1}" type="presOf" srcId="{C9EEDCBE-0C4C-44E9-AEFC-8A88F371877E}" destId="{A8045E5F-10C7-40BA-A39F-AC2D3C18FC0D}" srcOrd="0" destOrd="0" presId="urn:microsoft.com/office/officeart/2005/8/layout/hierarchy6"/>
    <dgm:cxn modelId="{3BC3A85F-1F23-495C-B8AA-29E2D8619867}" type="presParOf" srcId="{FB99B204-C43C-42B6-8E9D-49270CF359DC}" destId="{6204D1D7-75BE-44BA-8406-FC9B4B32B3E4}" srcOrd="0" destOrd="0" presId="urn:microsoft.com/office/officeart/2005/8/layout/hierarchy6"/>
    <dgm:cxn modelId="{0A718441-B366-4F4A-8E1E-E6F3BA759209}" type="presParOf" srcId="{6204D1D7-75BE-44BA-8406-FC9B4B32B3E4}" destId="{6ED64FD7-D04A-4345-B920-930803D22D8D}" srcOrd="0" destOrd="0" presId="urn:microsoft.com/office/officeart/2005/8/layout/hierarchy6"/>
    <dgm:cxn modelId="{9842D98D-88BB-4292-8607-BA9AFBB8D88E}" type="presParOf" srcId="{6ED64FD7-D04A-4345-B920-930803D22D8D}" destId="{937495CE-65B8-4935-9D95-5BE95A63503C}" srcOrd="0" destOrd="0" presId="urn:microsoft.com/office/officeart/2005/8/layout/hierarchy6"/>
    <dgm:cxn modelId="{8FA2C29E-1A4F-4EB6-A2AA-8D0341F59137}" type="presParOf" srcId="{937495CE-65B8-4935-9D95-5BE95A63503C}" destId="{0783A155-833A-4251-B6E8-78F94F53E125}" srcOrd="0" destOrd="0" presId="urn:microsoft.com/office/officeart/2005/8/layout/hierarchy6"/>
    <dgm:cxn modelId="{B9E3898D-11B5-4369-9409-E23943B329C8}" type="presParOf" srcId="{937495CE-65B8-4935-9D95-5BE95A63503C}" destId="{E39DE395-C278-4E74-B499-1CACCF8D30F1}" srcOrd="1" destOrd="0" presId="urn:microsoft.com/office/officeart/2005/8/layout/hierarchy6"/>
    <dgm:cxn modelId="{9FFC7A17-A749-4E6B-B924-E4F8BBA4B008}" type="presParOf" srcId="{E39DE395-C278-4E74-B499-1CACCF8D30F1}" destId="{A8045E5F-10C7-40BA-A39F-AC2D3C18FC0D}" srcOrd="0" destOrd="0" presId="urn:microsoft.com/office/officeart/2005/8/layout/hierarchy6"/>
    <dgm:cxn modelId="{3F4047D9-3280-460A-ABF7-032981674707}" type="presParOf" srcId="{E39DE395-C278-4E74-B499-1CACCF8D30F1}" destId="{402591C9-117C-43F0-8941-B548A47DF6C2}" srcOrd="1" destOrd="0" presId="urn:microsoft.com/office/officeart/2005/8/layout/hierarchy6"/>
    <dgm:cxn modelId="{49375F52-0661-429E-971F-32EAAD0339FE}" type="presParOf" srcId="{402591C9-117C-43F0-8941-B548A47DF6C2}" destId="{C0A3B581-1413-4A75-B755-A4F118B02A51}" srcOrd="0" destOrd="0" presId="urn:microsoft.com/office/officeart/2005/8/layout/hierarchy6"/>
    <dgm:cxn modelId="{A6F8147B-3025-47F0-9983-62E35DA030EE}" type="presParOf" srcId="{402591C9-117C-43F0-8941-B548A47DF6C2}" destId="{98967559-E995-43A9-975A-5E4B864C769E}" srcOrd="1" destOrd="0" presId="urn:microsoft.com/office/officeart/2005/8/layout/hierarchy6"/>
    <dgm:cxn modelId="{E3578D93-36D9-47CE-BE04-A3AC26E5F882}" type="presParOf" srcId="{98967559-E995-43A9-975A-5E4B864C769E}" destId="{E0D998D1-D539-4356-A9D9-517EC4729BAA}" srcOrd="0" destOrd="0" presId="urn:microsoft.com/office/officeart/2005/8/layout/hierarchy6"/>
    <dgm:cxn modelId="{AA35B99D-5734-463C-8E84-A32A8E065361}" type="presParOf" srcId="{98967559-E995-43A9-975A-5E4B864C769E}" destId="{D34AE797-A6D5-480A-BF20-124FAC6569F8}" srcOrd="1" destOrd="0" presId="urn:microsoft.com/office/officeart/2005/8/layout/hierarchy6"/>
    <dgm:cxn modelId="{AA742129-6EB6-470B-AA2D-6BCA20E59969}" type="presParOf" srcId="{D34AE797-A6D5-480A-BF20-124FAC6569F8}" destId="{9106B67E-6760-4FAE-8CAD-ABA54200449C}" srcOrd="0" destOrd="0" presId="urn:microsoft.com/office/officeart/2005/8/layout/hierarchy6"/>
    <dgm:cxn modelId="{365365BA-3D55-46A1-B562-D8AB0DD5CCE2}" type="presParOf" srcId="{D34AE797-A6D5-480A-BF20-124FAC6569F8}" destId="{8CFA1524-3A08-4B7B-98AE-610270C7A308}" srcOrd="1" destOrd="0" presId="urn:microsoft.com/office/officeart/2005/8/layout/hierarchy6"/>
    <dgm:cxn modelId="{0C1D6B92-E3CA-48EA-8848-E507436639F6}" type="presParOf" srcId="{98967559-E995-43A9-975A-5E4B864C769E}" destId="{09868F3A-C60A-4EAE-A14C-2037EBC252D0}" srcOrd="2" destOrd="0" presId="urn:microsoft.com/office/officeart/2005/8/layout/hierarchy6"/>
    <dgm:cxn modelId="{1C22A30B-ED12-4F8E-B00E-6C1D8F4C48E7}" type="presParOf" srcId="{98967559-E995-43A9-975A-5E4B864C769E}" destId="{C079A306-F31F-46A0-ACF3-70E9CDD17FE2}" srcOrd="3" destOrd="0" presId="urn:microsoft.com/office/officeart/2005/8/layout/hierarchy6"/>
    <dgm:cxn modelId="{F81648CD-C966-46DF-BE32-C910324B4626}" type="presParOf" srcId="{C079A306-F31F-46A0-ACF3-70E9CDD17FE2}" destId="{83C00ED8-B4FA-4146-995A-C53F3050E618}" srcOrd="0" destOrd="0" presId="urn:microsoft.com/office/officeart/2005/8/layout/hierarchy6"/>
    <dgm:cxn modelId="{272644F8-14CB-4202-9004-8B67A624FDFD}" type="presParOf" srcId="{C079A306-F31F-46A0-ACF3-70E9CDD17FE2}" destId="{5CB70EE2-81C9-483F-B06F-9763D80805A7}" srcOrd="1" destOrd="0" presId="urn:microsoft.com/office/officeart/2005/8/layout/hierarchy6"/>
    <dgm:cxn modelId="{AE2F89D9-DEC9-4200-A84F-0D9FE430CA16}" type="presParOf" srcId="{E39DE395-C278-4E74-B499-1CACCF8D30F1}" destId="{5D37C756-882E-4FBA-91FC-1947FF760E1E}" srcOrd="2" destOrd="0" presId="urn:microsoft.com/office/officeart/2005/8/layout/hierarchy6"/>
    <dgm:cxn modelId="{38E349DB-C3F3-48DB-8F05-62D2C4A996CF}" type="presParOf" srcId="{E39DE395-C278-4E74-B499-1CACCF8D30F1}" destId="{B3273005-B90E-4B32-B1CF-ED188BBB12AB}" srcOrd="3" destOrd="0" presId="urn:microsoft.com/office/officeart/2005/8/layout/hierarchy6"/>
    <dgm:cxn modelId="{6195B5D5-8815-44E2-AEF9-7E8588EEB78F}" type="presParOf" srcId="{B3273005-B90E-4B32-B1CF-ED188BBB12AB}" destId="{B1AE550F-71BB-497E-9227-5C86129CA515}" srcOrd="0" destOrd="0" presId="urn:microsoft.com/office/officeart/2005/8/layout/hierarchy6"/>
    <dgm:cxn modelId="{AEE98147-EF14-4D56-9244-7ACF3DE4BDFC}" type="presParOf" srcId="{B3273005-B90E-4B32-B1CF-ED188BBB12AB}" destId="{CB70A61C-D301-4763-BDC6-DA9C2027B24A}" srcOrd="1" destOrd="0" presId="urn:microsoft.com/office/officeart/2005/8/layout/hierarchy6"/>
    <dgm:cxn modelId="{AD0F1E90-7400-47CC-8796-CF86090EF941}" type="presParOf" srcId="{CB70A61C-D301-4763-BDC6-DA9C2027B24A}" destId="{7932F743-1A39-4842-82A6-148FE75E004F}" srcOrd="0" destOrd="0" presId="urn:microsoft.com/office/officeart/2005/8/layout/hierarchy6"/>
    <dgm:cxn modelId="{1195C739-20F7-4645-A615-0102194036F4}" type="presParOf" srcId="{CB70A61C-D301-4763-BDC6-DA9C2027B24A}" destId="{6B45956D-5DDE-460F-BE40-463292CA7B02}" srcOrd="1" destOrd="0" presId="urn:microsoft.com/office/officeart/2005/8/layout/hierarchy6"/>
    <dgm:cxn modelId="{418CD653-525E-47B9-9989-C92C60E940C9}" type="presParOf" srcId="{6B45956D-5DDE-460F-BE40-463292CA7B02}" destId="{3E73FFAD-2B71-49E4-BD11-7E7C0E251ED1}" srcOrd="0" destOrd="0" presId="urn:microsoft.com/office/officeart/2005/8/layout/hierarchy6"/>
    <dgm:cxn modelId="{472A5F8D-3943-4B20-B11F-41238421EF56}" type="presParOf" srcId="{6B45956D-5DDE-460F-BE40-463292CA7B02}" destId="{C134E08F-F34A-4D30-944F-3FBDE37B21F9}" srcOrd="1" destOrd="0" presId="urn:microsoft.com/office/officeart/2005/8/layout/hierarchy6"/>
    <dgm:cxn modelId="{5F3A8078-F687-4047-AAA5-96594F42CA37}" type="presParOf" srcId="{FB99B204-C43C-42B6-8E9D-49270CF359DC}" destId="{85120349-6BA5-4682-8B88-3F8AF993015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83A155-833A-4251-B6E8-78F94F53E125}">
      <dsp:nvSpPr>
        <dsp:cNvPr id="0" name=""/>
        <dsp:cNvSpPr/>
      </dsp:nvSpPr>
      <dsp:spPr>
        <a:xfrm>
          <a:off x="2527801" y="17"/>
          <a:ext cx="1152862" cy="7685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en-US" sz="1000" b="1" kern="1200">
              <a:cs typeface="+mj-cs"/>
            </a:rPr>
            <a:t>70 patients eligible for coronary angiography</a:t>
          </a:r>
          <a:endParaRPr lang="ar-SA" sz="1000" b="1" kern="1200">
            <a:cs typeface="+mj-cs"/>
          </a:endParaRPr>
        </a:p>
      </dsp:txBody>
      <dsp:txXfrm>
        <a:off x="2550312" y="22528"/>
        <a:ext cx="1107840" cy="723553"/>
      </dsp:txXfrm>
    </dsp:sp>
    <dsp:sp modelId="{A8045E5F-10C7-40BA-A39F-AC2D3C18FC0D}">
      <dsp:nvSpPr>
        <dsp:cNvPr id="0" name=""/>
        <dsp:cNvSpPr/>
      </dsp:nvSpPr>
      <dsp:spPr>
        <a:xfrm>
          <a:off x="1980191" y="768592"/>
          <a:ext cx="1124041" cy="307430"/>
        </a:xfrm>
        <a:custGeom>
          <a:avLst/>
          <a:gdLst/>
          <a:ahLst/>
          <a:cxnLst/>
          <a:rect l="0" t="0" r="0" b="0"/>
          <a:pathLst>
            <a:path>
              <a:moveTo>
                <a:pt x="1124041" y="0"/>
              </a:moveTo>
              <a:lnTo>
                <a:pt x="1124041" y="153715"/>
              </a:lnTo>
              <a:lnTo>
                <a:pt x="0" y="153715"/>
              </a:lnTo>
              <a:lnTo>
                <a:pt x="0" y="3074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A3B581-1413-4A75-B755-A4F118B02A51}">
      <dsp:nvSpPr>
        <dsp:cNvPr id="0" name=""/>
        <dsp:cNvSpPr/>
      </dsp:nvSpPr>
      <dsp:spPr>
        <a:xfrm>
          <a:off x="1403760" y="1076022"/>
          <a:ext cx="1152862" cy="7685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en-US" sz="1000" kern="1200"/>
            <a:t>55 pateints had   DM &amp;or HTN</a:t>
          </a:r>
          <a:endParaRPr lang="ar-SA" sz="1000" kern="1200"/>
        </a:p>
      </dsp:txBody>
      <dsp:txXfrm>
        <a:off x="1426271" y="1098533"/>
        <a:ext cx="1107840" cy="723553"/>
      </dsp:txXfrm>
    </dsp:sp>
    <dsp:sp modelId="{E0D998D1-D539-4356-A9D9-517EC4729BAA}">
      <dsp:nvSpPr>
        <dsp:cNvPr id="0" name=""/>
        <dsp:cNvSpPr/>
      </dsp:nvSpPr>
      <dsp:spPr>
        <a:xfrm>
          <a:off x="1230830" y="1844598"/>
          <a:ext cx="749360" cy="307430"/>
        </a:xfrm>
        <a:custGeom>
          <a:avLst/>
          <a:gdLst/>
          <a:ahLst/>
          <a:cxnLst/>
          <a:rect l="0" t="0" r="0" b="0"/>
          <a:pathLst>
            <a:path>
              <a:moveTo>
                <a:pt x="749360" y="0"/>
              </a:moveTo>
              <a:lnTo>
                <a:pt x="749360" y="153715"/>
              </a:lnTo>
              <a:lnTo>
                <a:pt x="0" y="153715"/>
              </a:lnTo>
              <a:lnTo>
                <a:pt x="0" y="3074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06B67E-6760-4FAE-8CAD-ABA54200449C}">
      <dsp:nvSpPr>
        <dsp:cNvPr id="0" name=""/>
        <dsp:cNvSpPr/>
      </dsp:nvSpPr>
      <dsp:spPr>
        <a:xfrm>
          <a:off x="654399" y="2152028"/>
          <a:ext cx="1152862" cy="7685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en-US" sz="1000" b="1" kern="1200"/>
            <a:t>Group (C)</a:t>
          </a:r>
        </a:p>
        <a:p>
          <a:pPr lvl="0" algn="ctr" defTabSz="444500" rtl="1">
            <a:lnSpc>
              <a:spcPct val="90000"/>
            </a:lnSpc>
            <a:spcBef>
              <a:spcPct val="0"/>
            </a:spcBef>
            <a:spcAft>
              <a:spcPct val="35000"/>
            </a:spcAft>
          </a:pPr>
          <a:r>
            <a:rPr lang="en-US" sz="1000" b="1" kern="1200"/>
            <a:t>10 patients with normal coronary </a:t>
          </a:r>
          <a:endParaRPr lang="ar-SA" sz="1000" b="1" kern="1200"/>
        </a:p>
      </dsp:txBody>
      <dsp:txXfrm>
        <a:off x="676910" y="2174539"/>
        <a:ext cx="1107840" cy="723553"/>
      </dsp:txXfrm>
    </dsp:sp>
    <dsp:sp modelId="{09868F3A-C60A-4EAE-A14C-2037EBC252D0}">
      <dsp:nvSpPr>
        <dsp:cNvPr id="0" name=""/>
        <dsp:cNvSpPr/>
      </dsp:nvSpPr>
      <dsp:spPr>
        <a:xfrm>
          <a:off x="1980191" y="1844598"/>
          <a:ext cx="749360" cy="307430"/>
        </a:xfrm>
        <a:custGeom>
          <a:avLst/>
          <a:gdLst/>
          <a:ahLst/>
          <a:cxnLst/>
          <a:rect l="0" t="0" r="0" b="0"/>
          <a:pathLst>
            <a:path>
              <a:moveTo>
                <a:pt x="0" y="0"/>
              </a:moveTo>
              <a:lnTo>
                <a:pt x="0" y="153715"/>
              </a:lnTo>
              <a:lnTo>
                <a:pt x="749360" y="153715"/>
              </a:lnTo>
              <a:lnTo>
                <a:pt x="749360" y="3074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C00ED8-B4FA-4146-995A-C53F3050E618}">
      <dsp:nvSpPr>
        <dsp:cNvPr id="0" name=""/>
        <dsp:cNvSpPr/>
      </dsp:nvSpPr>
      <dsp:spPr>
        <a:xfrm>
          <a:off x="2153121" y="2152028"/>
          <a:ext cx="1152862" cy="7685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en-US" sz="1000" b="1" kern="1200"/>
            <a:t>Group (B)</a:t>
          </a:r>
        </a:p>
        <a:p>
          <a:pPr lvl="0" algn="ctr" defTabSz="444500" rtl="1">
            <a:lnSpc>
              <a:spcPct val="90000"/>
            </a:lnSpc>
            <a:spcBef>
              <a:spcPct val="0"/>
            </a:spcBef>
            <a:spcAft>
              <a:spcPct val="35000"/>
            </a:spcAft>
          </a:pPr>
          <a:r>
            <a:rPr lang="ar-EG" sz="1000" b="0" kern="1200"/>
            <a:t> </a:t>
          </a:r>
          <a:r>
            <a:rPr lang="en-US" sz="1000" b="0" kern="1200"/>
            <a:t>  </a:t>
          </a:r>
          <a:r>
            <a:rPr lang="en-US" sz="1000" b="1" kern="1200"/>
            <a:t>45 patients had coronary lesion</a:t>
          </a:r>
          <a:endParaRPr lang="ar-SA" sz="1000" b="1" kern="1200"/>
        </a:p>
      </dsp:txBody>
      <dsp:txXfrm>
        <a:off x="2175632" y="2174539"/>
        <a:ext cx="1107840" cy="723553"/>
      </dsp:txXfrm>
    </dsp:sp>
    <dsp:sp modelId="{5D37C756-882E-4FBA-91FC-1947FF760E1E}">
      <dsp:nvSpPr>
        <dsp:cNvPr id="0" name=""/>
        <dsp:cNvSpPr/>
      </dsp:nvSpPr>
      <dsp:spPr>
        <a:xfrm>
          <a:off x="3104232" y="768592"/>
          <a:ext cx="1124041" cy="307430"/>
        </a:xfrm>
        <a:custGeom>
          <a:avLst/>
          <a:gdLst/>
          <a:ahLst/>
          <a:cxnLst/>
          <a:rect l="0" t="0" r="0" b="0"/>
          <a:pathLst>
            <a:path>
              <a:moveTo>
                <a:pt x="0" y="0"/>
              </a:moveTo>
              <a:lnTo>
                <a:pt x="0" y="153715"/>
              </a:lnTo>
              <a:lnTo>
                <a:pt x="1124041" y="153715"/>
              </a:lnTo>
              <a:lnTo>
                <a:pt x="1124041" y="3074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AE550F-71BB-497E-9227-5C86129CA515}">
      <dsp:nvSpPr>
        <dsp:cNvPr id="0" name=""/>
        <dsp:cNvSpPr/>
      </dsp:nvSpPr>
      <dsp:spPr>
        <a:xfrm>
          <a:off x="3651842" y="1076022"/>
          <a:ext cx="1152862" cy="7685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rtl="1">
            <a:lnSpc>
              <a:spcPct val="90000"/>
            </a:lnSpc>
            <a:spcBef>
              <a:spcPct val="0"/>
            </a:spcBef>
            <a:spcAft>
              <a:spcPct val="35000"/>
            </a:spcAft>
          </a:pPr>
          <a:r>
            <a:rPr lang="en-US" sz="1000" kern="1200"/>
            <a:t>15  Patients had neigther</a:t>
          </a:r>
          <a:r>
            <a:rPr lang="ar-EG" sz="1000" kern="1200"/>
            <a:t> </a:t>
          </a:r>
          <a:r>
            <a:rPr lang="en-US" sz="1000" kern="1200"/>
            <a:t> </a:t>
          </a:r>
        </a:p>
        <a:p>
          <a:pPr lvl="0" algn="l" defTabSz="444500" rtl="1">
            <a:lnSpc>
              <a:spcPct val="90000"/>
            </a:lnSpc>
            <a:spcBef>
              <a:spcPct val="0"/>
            </a:spcBef>
            <a:spcAft>
              <a:spcPct val="35000"/>
            </a:spcAft>
          </a:pPr>
          <a:r>
            <a:rPr lang="en-US" sz="1000" kern="1200"/>
            <a:t>DM nor HTN</a:t>
          </a:r>
        </a:p>
      </dsp:txBody>
      <dsp:txXfrm>
        <a:off x="3674353" y="1098533"/>
        <a:ext cx="1107840" cy="723553"/>
      </dsp:txXfrm>
    </dsp:sp>
    <dsp:sp modelId="{7932F743-1A39-4842-82A6-148FE75E004F}">
      <dsp:nvSpPr>
        <dsp:cNvPr id="0" name=""/>
        <dsp:cNvSpPr/>
      </dsp:nvSpPr>
      <dsp:spPr>
        <a:xfrm>
          <a:off x="4182554" y="1844598"/>
          <a:ext cx="91440" cy="307430"/>
        </a:xfrm>
        <a:custGeom>
          <a:avLst/>
          <a:gdLst/>
          <a:ahLst/>
          <a:cxnLst/>
          <a:rect l="0" t="0" r="0" b="0"/>
          <a:pathLst>
            <a:path>
              <a:moveTo>
                <a:pt x="45720" y="0"/>
              </a:moveTo>
              <a:lnTo>
                <a:pt x="45720" y="3074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73FFAD-2B71-49E4-BD11-7E7C0E251ED1}">
      <dsp:nvSpPr>
        <dsp:cNvPr id="0" name=""/>
        <dsp:cNvSpPr/>
      </dsp:nvSpPr>
      <dsp:spPr>
        <a:xfrm>
          <a:off x="3651842" y="2152028"/>
          <a:ext cx="1152862" cy="7685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en-US" sz="1100" b="1" kern="1200"/>
            <a:t>Group (A)</a:t>
          </a:r>
          <a:endParaRPr lang="ar-EG" sz="1100" b="1" kern="1200"/>
        </a:p>
        <a:p>
          <a:pPr lvl="0" algn="ctr" defTabSz="488950" rtl="1">
            <a:lnSpc>
              <a:spcPct val="90000"/>
            </a:lnSpc>
            <a:spcBef>
              <a:spcPct val="0"/>
            </a:spcBef>
            <a:spcAft>
              <a:spcPct val="35000"/>
            </a:spcAft>
          </a:pPr>
          <a:r>
            <a:rPr lang="en-US" sz="1100" b="1" kern="1200"/>
            <a:t>15 patients  had coronary  lesion</a:t>
          </a:r>
          <a:endParaRPr lang="ar-SA" sz="1100" b="1" kern="1200"/>
        </a:p>
      </dsp:txBody>
      <dsp:txXfrm>
        <a:off x="3674353" y="2174539"/>
        <a:ext cx="1107840" cy="7235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616B-B388-4948-8D6D-04FFDDF4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15127</TotalTime>
  <Pages>1</Pages>
  <Words>4871</Words>
  <Characters>27768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Dr. Mervat Khalaf</cp:lastModifiedBy>
  <cp:revision>92</cp:revision>
  <dcterms:created xsi:type="dcterms:W3CDTF">2015-06-14T09:31:00Z</dcterms:created>
  <dcterms:modified xsi:type="dcterms:W3CDTF">2016-09-18T15:21:00Z</dcterms:modified>
</cp:coreProperties>
</file>