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38" w:rsidRDefault="00FA6138" w:rsidP="00FA6138">
      <w:pPr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ABSTRACT</w:t>
      </w:r>
    </w:p>
    <w:p w:rsidR="00FA6138" w:rsidRDefault="00FA6138" w:rsidP="00FA6138">
      <w:pPr>
        <w:spacing w:line="360" w:lineRule="auto"/>
        <w:jc w:val="both"/>
        <w:rPr>
          <w:sz w:val="28"/>
          <w:szCs w:val="28"/>
        </w:rPr>
      </w:pPr>
    </w:p>
    <w:p w:rsidR="00FA6138" w:rsidRDefault="00FA6138" w:rsidP="00FA61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aim of this study was to assess the levels of serum 1</w:t>
      </w:r>
      <w:proofErr w:type="gramStart"/>
      <w:r>
        <w:rPr>
          <w:sz w:val="28"/>
          <w:szCs w:val="28"/>
        </w:rPr>
        <w:t>,25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dihydroxycholecalciferol</w:t>
      </w:r>
      <w:proofErr w:type="spellEnd"/>
      <w:r>
        <w:rPr>
          <w:sz w:val="28"/>
          <w:szCs w:val="28"/>
        </w:rPr>
        <w:t xml:space="preserve">   and its relation to  bone mineral density and heart disease in beta </w:t>
      </w:r>
      <w:proofErr w:type="spellStart"/>
      <w:r>
        <w:rPr>
          <w:sz w:val="28"/>
          <w:szCs w:val="28"/>
        </w:rPr>
        <w:t>thalessmia</w:t>
      </w:r>
      <w:proofErr w:type="spellEnd"/>
      <w:r>
        <w:rPr>
          <w:sz w:val="28"/>
          <w:szCs w:val="28"/>
        </w:rPr>
        <w:t xml:space="preserve"> patients.</w:t>
      </w:r>
    </w:p>
    <w:p w:rsidR="00FA6138" w:rsidRDefault="00FA6138" w:rsidP="00FA6138">
      <w:pPr>
        <w:spacing w:line="360" w:lineRule="auto"/>
        <w:jc w:val="both"/>
        <w:rPr>
          <w:rFonts w:ascii="Monotype Corsiva" w:hAnsi="Monotype Corsiva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METHODS:</w:t>
      </w:r>
      <w:r>
        <w:rPr>
          <w:sz w:val="28"/>
          <w:szCs w:val="28"/>
        </w:rPr>
        <w:t>eighty</w:t>
      </w:r>
      <w:proofErr w:type="spellEnd"/>
      <w:r>
        <w:rPr>
          <w:sz w:val="28"/>
          <w:szCs w:val="28"/>
        </w:rPr>
        <w:t xml:space="preserve"> patients with B-thalassemia major with a mean age 16 years (range 10 – 22years), underwent full history taking, clinical examination and laboratory tests including complete blood count ,calcium ,phosphorus, alkaline phosphatase, Serum ferritin and serum 1,25 </w:t>
      </w:r>
      <w:proofErr w:type="spellStart"/>
      <w:r>
        <w:rPr>
          <w:sz w:val="28"/>
          <w:szCs w:val="28"/>
        </w:rPr>
        <w:t>dihydroxycholecalciferol</w:t>
      </w:r>
      <w:proofErr w:type="spellEnd"/>
      <w:r>
        <w:rPr>
          <w:sz w:val="28"/>
          <w:szCs w:val="28"/>
        </w:rPr>
        <w:t xml:space="preserve">. </w:t>
      </w:r>
    </w:p>
    <w:p w:rsidR="00FA6138" w:rsidRDefault="00FA6138" w:rsidP="00FA613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Complete M-mode and pulsed Doppler echocardiography were performed for cases to study diastolic and systolic functions and measurements were obtained. Myocardial </w:t>
      </w:r>
      <w:proofErr w:type="gramStart"/>
      <w:r>
        <w:rPr>
          <w:sz w:val="28"/>
          <w:szCs w:val="28"/>
        </w:rPr>
        <w:t>Performance  Index</w:t>
      </w:r>
      <w:proofErr w:type="gramEnd"/>
      <w:r>
        <w:rPr>
          <w:sz w:val="28"/>
          <w:szCs w:val="28"/>
        </w:rPr>
        <w:t xml:space="preserve"> (MPI) was calculated for both the left and right ventricles ,and data was interpreted. </w:t>
      </w:r>
    </w:p>
    <w:p w:rsidR="00FA6138" w:rsidRDefault="00FA6138" w:rsidP="00FA61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Bone mineral density (BMD) (g/cm 2</w:t>
      </w:r>
      <w:proofErr w:type="gramStart"/>
      <w:r>
        <w:rPr>
          <w:sz w:val="28"/>
          <w:szCs w:val="28"/>
        </w:rPr>
        <w:t>)  was</w:t>
      </w:r>
      <w:proofErr w:type="gramEnd"/>
      <w:r>
        <w:rPr>
          <w:sz w:val="28"/>
          <w:szCs w:val="28"/>
        </w:rPr>
        <w:t xml:space="preserve"> measured at lumbar spine (L1–L4),radial and femoral area using dual-energy x-ray absorptiometry (LUNAR, DPXMD#7164).T scores and Z scores will be used.</w:t>
      </w:r>
    </w:p>
    <w:p w:rsidR="00FA6138" w:rsidRDefault="00FA6138" w:rsidP="00FA6138">
      <w:pPr>
        <w:spacing w:line="360" w:lineRule="auto"/>
        <w:jc w:val="both"/>
        <w:rPr>
          <w:sz w:val="28"/>
          <w:szCs w:val="28"/>
        </w:rPr>
      </w:pPr>
    </w:p>
    <w:p w:rsidR="00FA6138" w:rsidRDefault="00FA6138" w:rsidP="00FA6138">
      <w:pPr>
        <w:spacing w:line="360" w:lineRule="auto"/>
        <w:jc w:val="both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RESULTS:</w:t>
      </w:r>
      <w:r>
        <w:rPr>
          <w:sz w:val="28"/>
          <w:szCs w:val="28"/>
        </w:rPr>
        <w:t>Among</w:t>
      </w:r>
      <w:proofErr w:type="spellEnd"/>
      <w:r>
        <w:rPr>
          <w:sz w:val="28"/>
          <w:szCs w:val="28"/>
        </w:rPr>
        <w:t xml:space="preserve"> our cases  sixteen  patients (20%) had low serum 1,25 </w:t>
      </w:r>
      <w:proofErr w:type="spellStart"/>
      <w:r>
        <w:rPr>
          <w:sz w:val="28"/>
          <w:szCs w:val="28"/>
        </w:rPr>
        <w:t>dihydroxycholecalciferol</w:t>
      </w:r>
      <w:proofErr w:type="spellEnd"/>
      <w:r>
        <w:rPr>
          <w:sz w:val="28"/>
          <w:szCs w:val="28"/>
        </w:rPr>
        <w:t xml:space="preserve"> level, 4 (5%) had an increased level  while the remaining  60 patients(75%) had normal levels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Those who are below 18 years ,we measured their bone density by  Z score ,60  patients(94%) had decreased bone density and 4 patients(6%) had normal bone mineral density while those who are above  18 years ,we measured their bone density by  </w:t>
      </w:r>
      <w:proofErr w:type="spellStart"/>
      <w:r>
        <w:rPr>
          <w:sz w:val="28"/>
          <w:szCs w:val="28"/>
        </w:rPr>
        <w:t>Tscore</w:t>
      </w:r>
      <w:proofErr w:type="spellEnd"/>
      <w:r>
        <w:rPr>
          <w:sz w:val="28"/>
          <w:szCs w:val="28"/>
        </w:rPr>
        <w:t xml:space="preserve"> ,13 patients (81%) had decreased bone density ,3 patients(19%) had osteopenia,</w:t>
      </w:r>
      <w:r>
        <w:rPr>
          <w:bCs/>
        </w:rPr>
        <w:t xml:space="preserve"> </w:t>
      </w:r>
      <w:r>
        <w:rPr>
          <w:bCs/>
          <w:sz w:val="28"/>
          <w:szCs w:val="28"/>
        </w:rPr>
        <w:t>There was no statistically significant correlation between 1.25 (OH)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Cholecalciferol</w:t>
      </w:r>
      <w:proofErr w:type="spellEnd"/>
      <w:r>
        <w:rPr>
          <w:bCs/>
          <w:sz w:val="28"/>
          <w:szCs w:val="28"/>
        </w:rPr>
        <w:t xml:space="preserve"> and </w:t>
      </w:r>
      <w:r>
        <w:rPr>
          <w:sz w:val="28"/>
          <w:szCs w:val="28"/>
        </w:rPr>
        <w:t>bone density,</w:t>
      </w:r>
      <w:r>
        <w:rPr>
          <w:bCs/>
        </w:rPr>
        <w:t xml:space="preserve"> </w:t>
      </w:r>
      <w:r>
        <w:rPr>
          <w:bCs/>
          <w:sz w:val="28"/>
          <w:szCs w:val="28"/>
        </w:rPr>
        <w:t>There was a statistically significant positive (direct) correlation between 1,25 (OH)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Cholecalciferol</w:t>
      </w:r>
      <w:proofErr w:type="spellEnd"/>
      <w:r>
        <w:rPr>
          <w:bCs/>
          <w:sz w:val="28"/>
          <w:szCs w:val="28"/>
        </w:rPr>
        <w:t xml:space="preserve"> and Calcium, There was a statistically significant negative </w:t>
      </w:r>
      <w:r>
        <w:rPr>
          <w:bCs/>
          <w:sz w:val="28"/>
          <w:szCs w:val="28"/>
        </w:rPr>
        <w:lastRenderedPageBreak/>
        <w:t>(inverse) correlation between 1,25 (OH)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Cholecalciferol</w:t>
      </w:r>
      <w:proofErr w:type="spellEnd"/>
      <w:r>
        <w:rPr>
          <w:bCs/>
          <w:sz w:val="28"/>
          <w:szCs w:val="28"/>
        </w:rPr>
        <w:t xml:space="preserve"> and </w:t>
      </w:r>
      <w:proofErr w:type="spellStart"/>
      <w:r>
        <w:rPr>
          <w:bCs/>
          <w:sz w:val="28"/>
          <w:szCs w:val="28"/>
        </w:rPr>
        <w:t>Phosphorus;and</w:t>
      </w:r>
      <w:proofErr w:type="spellEnd"/>
      <w:r>
        <w:rPr>
          <w:bCs/>
          <w:sz w:val="28"/>
          <w:szCs w:val="28"/>
        </w:rPr>
        <w:t xml:space="preserve"> alkaline </w:t>
      </w:r>
      <w:proofErr w:type="spellStart"/>
      <w:r>
        <w:rPr>
          <w:bCs/>
          <w:sz w:val="28"/>
          <w:szCs w:val="28"/>
        </w:rPr>
        <w:t>phosphatase.There</w:t>
      </w:r>
      <w:proofErr w:type="spellEnd"/>
      <w:r>
        <w:rPr>
          <w:bCs/>
          <w:sz w:val="28"/>
          <w:szCs w:val="28"/>
        </w:rPr>
        <w:t xml:space="preserve"> was no statistically significant correlation between 1.25 (OH)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Cholecalciferol</w:t>
      </w:r>
      <w:proofErr w:type="spellEnd"/>
      <w:r>
        <w:rPr>
          <w:bCs/>
          <w:sz w:val="28"/>
          <w:szCs w:val="28"/>
        </w:rPr>
        <w:t xml:space="preserve"> and cardiac dysfunction.</w:t>
      </w:r>
    </w:p>
    <w:p w:rsidR="00FA6138" w:rsidRDefault="00FA6138" w:rsidP="00FA6138">
      <w:pPr>
        <w:spacing w:line="360" w:lineRule="auto"/>
        <w:jc w:val="both"/>
        <w:rPr>
          <w:sz w:val="28"/>
          <w:szCs w:val="28"/>
        </w:rPr>
      </w:pPr>
    </w:p>
    <w:p w:rsidR="00FA6138" w:rsidRDefault="00FA6138" w:rsidP="00FA6138">
      <w:pPr>
        <w:pStyle w:val="ListParagraph"/>
        <w:bidi w:val="0"/>
        <w:spacing w:line="360" w:lineRule="auto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CONCLUSION:</w:t>
      </w:r>
      <w:r>
        <w:rPr>
          <w:sz w:val="28"/>
          <w:szCs w:val="28"/>
        </w:rPr>
        <w:t xml:space="preserve"> There is no association between 1</w:t>
      </w:r>
      <w:proofErr w:type="gramStart"/>
      <w:r>
        <w:rPr>
          <w:sz w:val="28"/>
          <w:szCs w:val="28"/>
        </w:rPr>
        <w:t>,25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dihydroxy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cholecalciferol</w:t>
      </w:r>
      <w:proofErr w:type="spellEnd"/>
      <w:r>
        <w:rPr>
          <w:sz w:val="28"/>
          <w:szCs w:val="28"/>
        </w:rPr>
        <w:t xml:space="preserve"> and myocardial dysfunction .And also there is no association between 1,25 </w:t>
      </w:r>
      <w:proofErr w:type="spellStart"/>
      <w:r>
        <w:rPr>
          <w:sz w:val="28"/>
          <w:szCs w:val="28"/>
        </w:rPr>
        <w:t>dihydroxy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cholecalciferol</w:t>
      </w:r>
      <w:proofErr w:type="spellEnd"/>
      <w:r>
        <w:rPr>
          <w:sz w:val="28"/>
          <w:szCs w:val="28"/>
        </w:rPr>
        <w:t xml:space="preserve"> and bone mineral density in pediatric patients with beta-thalassemia major</w:t>
      </w:r>
    </w:p>
    <w:p w:rsidR="00FA6138" w:rsidRDefault="00FA6138" w:rsidP="00FA6138">
      <w:pPr>
        <w:spacing w:line="360" w:lineRule="auto"/>
        <w:jc w:val="both"/>
        <w:rPr>
          <w:b/>
          <w:bCs/>
          <w:sz w:val="28"/>
          <w:szCs w:val="28"/>
        </w:rPr>
      </w:pPr>
    </w:p>
    <w:p w:rsidR="00FA6138" w:rsidRDefault="00FA6138" w:rsidP="00FA6138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KEY WORDS: </w:t>
      </w:r>
      <w:r>
        <w:rPr>
          <w:sz w:val="28"/>
          <w:szCs w:val="28"/>
        </w:rPr>
        <w:t>Thalassemia major, 1</w:t>
      </w:r>
      <w:proofErr w:type="gramStart"/>
      <w:r>
        <w:rPr>
          <w:sz w:val="28"/>
          <w:szCs w:val="28"/>
        </w:rPr>
        <w:t>,25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dihydroxy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cholecalciferol,Systolic</w:t>
      </w:r>
      <w:proofErr w:type="spellEnd"/>
      <w:r>
        <w:rPr>
          <w:sz w:val="28"/>
          <w:szCs w:val="28"/>
        </w:rPr>
        <w:t xml:space="preserve"> and diastolic  cardiac </w:t>
      </w:r>
      <w:proofErr w:type="spellStart"/>
      <w:r>
        <w:rPr>
          <w:sz w:val="28"/>
          <w:szCs w:val="28"/>
        </w:rPr>
        <w:t>functions,bone</w:t>
      </w:r>
      <w:proofErr w:type="spellEnd"/>
      <w:r>
        <w:rPr>
          <w:sz w:val="28"/>
          <w:szCs w:val="28"/>
        </w:rPr>
        <w:t xml:space="preserve"> mineral </w:t>
      </w:r>
      <w:proofErr w:type="spellStart"/>
      <w:r>
        <w:rPr>
          <w:sz w:val="28"/>
          <w:szCs w:val="28"/>
        </w:rPr>
        <w:t>density,DEXA</w:t>
      </w:r>
      <w:proofErr w:type="spellEnd"/>
    </w:p>
    <w:p w:rsidR="00FA6138" w:rsidRDefault="00FA6138" w:rsidP="00FA6138"/>
    <w:p w:rsidR="00FA6138" w:rsidRDefault="00FA6138" w:rsidP="00FA6138">
      <w:pPr>
        <w:jc w:val="center"/>
        <w:rPr>
          <w:rFonts w:ascii="Monotype Corsiva" w:hAnsi="Monotype Corsiva"/>
          <w:b/>
          <w:bCs/>
          <w:sz w:val="40"/>
          <w:szCs w:val="40"/>
        </w:rPr>
      </w:pPr>
    </w:p>
    <w:p w:rsidR="00FA6138" w:rsidRDefault="00FA6138" w:rsidP="00FA6138">
      <w:pPr>
        <w:jc w:val="center"/>
        <w:rPr>
          <w:rFonts w:ascii="Monotype Corsiva" w:hAnsi="Monotype Corsiva"/>
          <w:b/>
          <w:bCs/>
          <w:sz w:val="40"/>
          <w:szCs w:val="40"/>
        </w:rPr>
      </w:pPr>
    </w:p>
    <w:p w:rsidR="00315B00" w:rsidRDefault="00315B00">
      <w:bookmarkStart w:id="0" w:name="_GoBack"/>
      <w:bookmarkEnd w:id="0"/>
    </w:p>
    <w:sectPr w:rsidR="00315B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38"/>
    <w:rsid w:val="00315B00"/>
    <w:rsid w:val="00FA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138"/>
    <w:pPr>
      <w:bidi/>
      <w:ind w:left="720"/>
      <w:contextualSpacing/>
    </w:pPr>
    <w:rPr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138"/>
    <w:pPr>
      <w:bidi/>
      <w:ind w:left="720"/>
      <w:contextualSpacing/>
    </w:pPr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</dc:creator>
  <cp:lastModifiedBy>pc13</cp:lastModifiedBy>
  <cp:revision>1</cp:revision>
  <dcterms:created xsi:type="dcterms:W3CDTF">2014-11-13T07:28:00Z</dcterms:created>
  <dcterms:modified xsi:type="dcterms:W3CDTF">2014-11-13T07:30:00Z</dcterms:modified>
</cp:coreProperties>
</file>