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B3" w:rsidRDefault="001B6144">
      <w:pPr>
        <w:pStyle w:val="BodyText"/>
        <w:rPr>
          <w:rFonts w:ascii="Arial" w:hAnsi="Arial"/>
          <w:b/>
          <w:bCs/>
          <w:color w:val="7F7F7F"/>
          <w:sz w:val="28"/>
          <w:szCs w:val="28"/>
        </w:rPr>
      </w:pPr>
      <w:r>
        <w:rPr>
          <w:rFonts w:ascii="Arial" w:hAnsi="Arial"/>
          <w:b/>
          <w:bCs/>
          <w:color w:val="7F7F7F"/>
          <w:sz w:val="28"/>
          <w:szCs w:val="28"/>
        </w:rPr>
        <w:t xml:space="preserve">                </w:t>
      </w:r>
    </w:p>
    <w:p w:rsidR="002B1CB3" w:rsidRDefault="001B6144" w:rsidP="00EC3EBF">
      <w:pPr>
        <w:pStyle w:val="BodyTex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                    </w:t>
      </w:r>
      <w:r>
        <w:rPr>
          <w:rFonts w:ascii="Arial" w:hAnsi="Arial"/>
          <w:b/>
          <w:bCs/>
          <w:color w:val="000000"/>
          <w:sz w:val="40"/>
          <w:szCs w:val="40"/>
        </w:rPr>
        <w:t xml:space="preserve"> 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   </w:t>
      </w:r>
      <w:r w:rsidR="00EC3EBF">
        <w:rPr>
          <w:rFonts w:ascii="Arial" w:hAnsi="Arial"/>
          <w:b/>
          <w:bCs/>
          <w:color w:val="000000"/>
          <w:sz w:val="40"/>
          <w:szCs w:val="40"/>
          <w:u w:val="single"/>
        </w:rPr>
        <w:t>ABSTRACT</w:t>
      </w:r>
    </w:p>
    <w:p w:rsidR="002B1CB3" w:rsidRDefault="001B6144">
      <w:pPr>
        <w:pStyle w:val="BodyText"/>
        <w:rPr>
          <w:rFonts w:ascii="Arial" w:hAnsi="Arial"/>
          <w:b/>
          <w:bCs/>
          <w:color w:val="000000"/>
          <w:sz w:val="28"/>
          <w:szCs w:val="28"/>
        </w:rPr>
      </w:pPr>
      <w:r>
        <w:rPr>
          <w:rFonts w:ascii="Arial" w:hAnsi="Arial"/>
          <w:b/>
          <w:bCs/>
          <w:color w:val="000000"/>
          <w:sz w:val="28"/>
          <w:szCs w:val="28"/>
        </w:rPr>
        <w:t xml:space="preserve">                                                   </w:t>
      </w:r>
    </w:p>
    <w:p w:rsidR="002B1CB3" w:rsidRDefault="001B6144">
      <w:pPr>
        <w:pStyle w:val="BodyText"/>
        <w:rPr>
          <w:rFonts w:ascii="Arial" w:eastAsia="Times-Bold" w:hAnsi="Arial" w:cs="Times-Bold"/>
          <w:color w:val="231F20"/>
          <w:sz w:val="28"/>
          <w:szCs w:val="28"/>
        </w:rPr>
      </w:pPr>
      <w:r>
        <w:rPr>
          <w:rFonts w:ascii="Arial" w:eastAsia="Times-Bold" w:hAnsi="Arial" w:cs="Times-Bold"/>
          <w:b/>
          <w:bCs/>
          <w:color w:val="231F20"/>
          <w:sz w:val="28"/>
          <w:szCs w:val="28"/>
        </w:rPr>
        <w:t>Pediatric subtrochanteric femoral fractures</w:t>
      </w:r>
      <w:r>
        <w:rPr>
          <w:rFonts w:ascii="Arial" w:eastAsia="Times-Bold" w:hAnsi="Arial" w:cs="Times-Bold"/>
          <w:color w:val="231F20"/>
          <w:sz w:val="28"/>
          <w:szCs w:val="28"/>
        </w:rPr>
        <w:t xml:space="preserve"> are</w:t>
      </w:r>
      <w:r>
        <w:rPr>
          <w:rFonts w:ascii="Arial" w:eastAsia="Times-Bold" w:hAnsi="Arial" w:cs="Times-Bold"/>
          <w:b/>
          <w:bCs/>
          <w:color w:val="231F20"/>
          <w:sz w:val="28"/>
          <w:szCs w:val="28"/>
        </w:rPr>
        <w:t xml:space="preserve"> rare</w:t>
      </w:r>
      <w:r>
        <w:rPr>
          <w:rFonts w:ascii="Arial" w:eastAsia="Times-Bold" w:hAnsi="Arial" w:cs="Times-Bold"/>
          <w:color w:val="231F20"/>
          <w:sz w:val="28"/>
          <w:szCs w:val="28"/>
        </w:rPr>
        <w:t xml:space="preserve"> and have received limited attention in the literature.</w:t>
      </w:r>
    </w:p>
    <w:p w:rsidR="002B1CB3" w:rsidRDefault="001B6144">
      <w:pPr>
        <w:pStyle w:val="BodyText"/>
        <w:rPr>
          <w:rFonts w:ascii="Arial" w:eastAsia="Times-Bold" w:hAnsi="Arial" w:cs="Times-Bold"/>
          <w:color w:val="231F20"/>
          <w:sz w:val="28"/>
          <w:szCs w:val="28"/>
        </w:rPr>
      </w:pPr>
      <w:r>
        <w:rPr>
          <w:rFonts w:ascii="Arial" w:eastAsia="Times-Bold" w:hAnsi="Arial" w:cs="Times-Bold"/>
          <w:color w:val="231F20"/>
          <w:sz w:val="28"/>
          <w:szCs w:val="28"/>
        </w:rPr>
        <w:t>It presents</w:t>
      </w:r>
      <w:r w:rsidR="00025885">
        <w:rPr>
          <w:rFonts w:ascii="Arial" w:eastAsia="Times-Bold" w:hAnsi="Arial" w:cs="Times-Bold"/>
          <w:color w:val="231F20"/>
          <w:sz w:val="28"/>
          <w:szCs w:val="28"/>
        </w:rPr>
        <w:t xml:space="preserve"> a</w:t>
      </w:r>
      <w:r>
        <w:rPr>
          <w:rFonts w:ascii="Arial" w:eastAsia="Times-Bold" w:hAnsi="Arial" w:cs="Times-Bold"/>
          <w:color w:val="231F20"/>
          <w:sz w:val="28"/>
          <w:szCs w:val="28"/>
        </w:rPr>
        <w:t xml:space="preserve"> unique problem due to difficulty in maintaining fracture reduction caused by the </w:t>
      </w:r>
      <w:r>
        <w:rPr>
          <w:rFonts w:ascii="Arial" w:eastAsia="Times-Bold" w:hAnsi="Arial" w:cs="Times-Bold"/>
          <w:b/>
          <w:bCs/>
          <w:color w:val="231F20"/>
          <w:sz w:val="28"/>
          <w:szCs w:val="28"/>
        </w:rPr>
        <w:t>strong deforming muscle forces</w:t>
      </w:r>
      <w:r>
        <w:rPr>
          <w:rFonts w:ascii="Arial" w:eastAsia="Times-Bold" w:hAnsi="Arial" w:cs="Times-Bold"/>
          <w:color w:val="231F20"/>
          <w:sz w:val="28"/>
          <w:szCs w:val="28"/>
        </w:rPr>
        <w:t xml:space="preserve"> displacing the proximal fragment into a </w:t>
      </w:r>
      <w:r>
        <w:rPr>
          <w:rFonts w:ascii="Arial" w:eastAsia="Times-Bold" w:hAnsi="Arial" w:cs="Times-Bold"/>
          <w:b/>
          <w:bCs/>
          <w:color w:val="231F20"/>
          <w:sz w:val="28"/>
          <w:szCs w:val="28"/>
        </w:rPr>
        <w:t>flexed</w:t>
      </w:r>
      <w:r>
        <w:rPr>
          <w:rFonts w:ascii="Arial" w:eastAsia="Times-Bold" w:hAnsi="Arial" w:cs="Times-Bold"/>
          <w:color w:val="231F20"/>
          <w:sz w:val="28"/>
          <w:szCs w:val="28"/>
        </w:rPr>
        <w:t>(iliopsoas action),</w:t>
      </w:r>
      <w:r>
        <w:rPr>
          <w:rFonts w:ascii="Arial" w:eastAsia="Times-Bold" w:hAnsi="Arial" w:cs="Times-Bold"/>
          <w:b/>
          <w:bCs/>
          <w:color w:val="231F20"/>
          <w:sz w:val="28"/>
          <w:szCs w:val="28"/>
        </w:rPr>
        <w:t>abducted</w:t>
      </w:r>
      <w:r>
        <w:rPr>
          <w:rFonts w:ascii="Arial" w:eastAsia="Times-Bold" w:hAnsi="Arial" w:cs="Times-Bold"/>
          <w:color w:val="231F20"/>
          <w:sz w:val="28"/>
          <w:szCs w:val="28"/>
        </w:rPr>
        <w:t xml:space="preserve">(abductors)and </w:t>
      </w:r>
      <w:r>
        <w:rPr>
          <w:rFonts w:ascii="Arial" w:eastAsia="Times-Bold" w:hAnsi="Arial" w:cs="Times-Bold"/>
          <w:b/>
          <w:bCs/>
          <w:color w:val="231F20"/>
          <w:sz w:val="28"/>
          <w:szCs w:val="28"/>
        </w:rPr>
        <w:t xml:space="preserve">externally rotated </w:t>
      </w:r>
      <w:r>
        <w:rPr>
          <w:rFonts w:ascii="Arial" w:eastAsia="Times-Bold" w:hAnsi="Arial" w:cs="Times-Bold"/>
          <w:color w:val="231F20"/>
          <w:sz w:val="28"/>
          <w:szCs w:val="28"/>
        </w:rPr>
        <w:t xml:space="preserve">(short external rotators).these forces make it difficult to maintain reduction conservatively. </w:t>
      </w:r>
    </w:p>
    <w:p w:rsidR="002B1CB3" w:rsidRDefault="001B6144" w:rsidP="00EC3EBF">
      <w:pPr>
        <w:pStyle w:val="BodyText"/>
        <w:rPr>
          <w:rFonts w:ascii="Arial" w:eastAsia="Times-Bold" w:hAnsi="Arial" w:cs="Times-Bold"/>
          <w:color w:val="231F20"/>
          <w:sz w:val="28"/>
          <w:szCs w:val="28"/>
        </w:rPr>
      </w:pPr>
      <w:r>
        <w:rPr>
          <w:rFonts w:ascii="Arial" w:eastAsia="Times-Bold" w:hAnsi="Arial" w:cs="Times-Bold"/>
          <w:color w:val="231F20"/>
          <w:sz w:val="28"/>
          <w:szCs w:val="28"/>
        </w:rPr>
        <w:t xml:space="preserve">There are increasing reports in literature that operative treatment more satisfactory results than nonoperative treatment,however treatment  is controversial.                                                                                                     </w:t>
      </w:r>
    </w:p>
    <w:p w:rsidR="002B1CB3" w:rsidRDefault="001B6144">
      <w:pPr>
        <w:pStyle w:val="BodyText"/>
        <w:rPr>
          <w:rFonts w:ascii="Arial" w:eastAsia="Times-Bold" w:hAnsi="Arial" w:cs="Times-Bold"/>
          <w:color w:val="231F20"/>
          <w:sz w:val="28"/>
          <w:szCs w:val="28"/>
        </w:rPr>
      </w:pPr>
      <w:r>
        <w:rPr>
          <w:rFonts w:ascii="Arial" w:eastAsia="Times-Bold" w:hAnsi="Arial" w:cs="Times-Bold"/>
          <w:color w:val="231F20"/>
          <w:sz w:val="28"/>
          <w:szCs w:val="28"/>
        </w:rPr>
        <w:t>The aim of this study is to present  our results with percutaneus fixation of    subtrochanteric femoral fractures in children using</w:t>
      </w:r>
      <w:r>
        <w:rPr>
          <w:rFonts w:ascii="Arial" w:eastAsia="Times-Bold" w:hAnsi="Arial" w:cs="Times-Bold"/>
          <w:b/>
          <w:bCs/>
          <w:color w:val="231F20"/>
          <w:sz w:val="28"/>
          <w:szCs w:val="28"/>
        </w:rPr>
        <w:t xml:space="preserve"> low profile ilizarov</w:t>
      </w:r>
      <w:r>
        <w:rPr>
          <w:rFonts w:ascii="Arial" w:eastAsia="Times-Bold" w:hAnsi="Arial" w:cs="Times-Bold"/>
          <w:color w:val="231F20"/>
          <w:sz w:val="28"/>
          <w:szCs w:val="28"/>
        </w:rPr>
        <w:t>.</w:t>
      </w:r>
    </w:p>
    <w:p w:rsidR="002B1CB3" w:rsidRDefault="001B6144">
      <w:pPr>
        <w:pStyle w:val="BodyText"/>
        <w:rPr>
          <w:rFonts w:ascii="Arial" w:eastAsia="Times-Bold" w:hAnsi="Arial" w:cs="Times-Bold"/>
          <w:color w:val="231F20"/>
          <w:sz w:val="28"/>
          <w:szCs w:val="28"/>
        </w:rPr>
      </w:pPr>
      <w:r>
        <w:rPr>
          <w:rFonts w:ascii="Arial" w:eastAsia="Times-Bold" w:hAnsi="Arial" w:cs="Times-Bold"/>
          <w:color w:val="231F20"/>
          <w:sz w:val="28"/>
          <w:szCs w:val="28"/>
        </w:rPr>
        <w:t xml:space="preserve">Between 2012 and 2013, </w:t>
      </w:r>
      <w:r>
        <w:rPr>
          <w:rFonts w:ascii="Arial" w:eastAsia="Times-Bold" w:hAnsi="Arial" w:cs="Times-Bold"/>
          <w:b/>
          <w:bCs/>
          <w:i/>
          <w:iCs/>
          <w:color w:val="231F20"/>
          <w:sz w:val="28"/>
          <w:szCs w:val="28"/>
        </w:rPr>
        <w:t>15 patients</w:t>
      </w:r>
      <w:r>
        <w:rPr>
          <w:rFonts w:ascii="Arial" w:eastAsia="Times-Bold" w:hAnsi="Arial" w:cs="Times-Bold"/>
          <w:color w:val="231F20"/>
          <w:sz w:val="28"/>
          <w:szCs w:val="28"/>
        </w:rPr>
        <w:t>(10 boys and 5 girls) with 15  closed  subtrochanteric fractures with average age 6.8 ranging from 2  to 11 years were enrolled in our study that was conducted at cairo university hospital(level 1 trauma center).</w:t>
      </w:r>
    </w:p>
    <w:p w:rsidR="002B1CB3" w:rsidRDefault="001B6144">
      <w:pPr>
        <w:pStyle w:val="BodyText"/>
        <w:rPr>
          <w:rFonts w:ascii="Arial" w:eastAsia="Times-Bold" w:hAnsi="Arial" w:cs="Times-Bold"/>
          <w:color w:val="231F20"/>
          <w:sz w:val="28"/>
          <w:szCs w:val="28"/>
        </w:rPr>
      </w:pPr>
      <w:r>
        <w:rPr>
          <w:rFonts w:ascii="Arial" w:eastAsia="Times-Bold" w:hAnsi="Arial" w:cs="Times-Bold"/>
          <w:color w:val="231F20"/>
          <w:sz w:val="28"/>
          <w:szCs w:val="28"/>
        </w:rPr>
        <w:t>At the latest follow-up, no patient had any restriction of activities ,no significant limb length discrepancies,full range of hip and knee motion,no implant failure or refracture.</w:t>
      </w:r>
    </w:p>
    <w:p w:rsidR="002B1CB3" w:rsidRDefault="001B6144">
      <w:pPr>
        <w:pStyle w:val="BodyText"/>
        <w:rPr>
          <w:rFonts w:ascii="Arial" w:eastAsia="Times-Bold" w:hAnsi="Arial" w:cs="Times-Bold"/>
          <w:color w:val="231F20"/>
          <w:sz w:val="28"/>
          <w:szCs w:val="28"/>
        </w:rPr>
      </w:pPr>
      <w:r>
        <w:rPr>
          <w:rFonts w:ascii="Arial" w:eastAsia="Times-Bold" w:hAnsi="Arial" w:cs="Times-Bold"/>
          <w:color w:val="231F20"/>
          <w:sz w:val="28"/>
          <w:szCs w:val="28"/>
        </w:rPr>
        <w:t xml:space="preserve"> There were no deep infections,ten patients have superficial pin tract infection that was resolved by local pin care and oral antibiotics.there was no pain or limping.</w:t>
      </w:r>
    </w:p>
    <w:p w:rsidR="002B1CB3" w:rsidRDefault="002B1CB3">
      <w:pPr>
        <w:pStyle w:val="BodyText"/>
        <w:rPr>
          <w:rFonts w:ascii="Arial" w:hAnsi="Arial"/>
          <w:sz w:val="28"/>
          <w:szCs w:val="28"/>
        </w:rPr>
      </w:pPr>
    </w:p>
    <w:p w:rsidR="001B6144" w:rsidRDefault="001B6144">
      <w:pPr>
        <w:pStyle w:val="BodyText"/>
      </w:pPr>
    </w:p>
    <w:sectPr w:rsidR="001B6144" w:rsidSect="002B1CB3">
      <w:headerReference w:type="default" r:id="rId6"/>
      <w:footerReference w:type="default" r:id="rId7"/>
      <w:pgSz w:w="12240" w:h="15840"/>
      <w:pgMar w:top="1134" w:right="1125" w:bottom="1134" w:left="1335" w:header="720" w:footer="720" w:gutter="0"/>
      <w:pgNumType w:start="5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1EF" w:rsidRDefault="003811EF">
      <w:r>
        <w:separator/>
      </w:r>
    </w:p>
  </w:endnote>
  <w:endnote w:type="continuationSeparator" w:id="1">
    <w:p w:rsidR="003811EF" w:rsidRDefault="00381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-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9009"/>
    </w:tblGrid>
    <w:tr w:rsidR="00EC3EBF">
      <w:tc>
        <w:tcPr>
          <w:tcW w:w="9009" w:type="dxa"/>
          <w:tcBorders>
            <w:top w:val="single" w:sz="4" w:space="0" w:color="000000"/>
          </w:tcBorders>
          <w:shd w:val="clear" w:color="auto" w:fill="auto"/>
        </w:tcPr>
        <w:p w:rsidR="00EC3EBF" w:rsidRDefault="00EC3EBF">
          <w:pPr>
            <w:pStyle w:val="Footer"/>
            <w:snapToGrid w:val="0"/>
          </w:pPr>
        </w:p>
      </w:tc>
    </w:tr>
  </w:tbl>
  <w:p w:rsidR="002B1CB3" w:rsidRDefault="002B1C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1EF" w:rsidRDefault="003811EF">
      <w:r>
        <w:separator/>
      </w:r>
    </w:p>
  </w:footnote>
  <w:footnote w:type="continuationSeparator" w:id="1">
    <w:p w:rsidR="003811EF" w:rsidRDefault="00381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/>
    </w:tblPr>
    <w:tblGrid>
      <w:gridCol w:w="7007"/>
      <w:gridCol w:w="3003"/>
    </w:tblGrid>
    <w:tr w:rsidR="002B1CB3">
      <w:tc>
        <w:tcPr>
          <w:tcW w:w="7007" w:type="dxa"/>
          <w:tcBorders>
            <w:bottom w:val="single" w:sz="4" w:space="0" w:color="000000"/>
          </w:tcBorders>
          <w:shd w:val="clear" w:color="auto" w:fill="auto"/>
          <w:vAlign w:val="bottom"/>
        </w:tcPr>
        <w:p w:rsidR="002B1CB3" w:rsidRDefault="001B6144">
          <w:pPr>
            <w:pStyle w:val="Header"/>
            <w:snapToGrid w:val="0"/>
            <w:jc w:val="right"/>
            <w:rPr>
              <w:b/>
              <w:bCs/>
              <w:color w:val="76923C"/>
              <w:szCs w:val="24"/>
            </w:rPr>
          </w:pPr>
          <w:r>
            <w:rPr>
              <w:b/>
              <w:bCs/>
              <w:color w:val="76923C"/>
              <w:szCs w:val="24"/>
            </w:rPr>
            <w:t>[</w:t>
          </w:r>
          <w:r>
            <w:rPr>
              <w:b/>
              <w:bCs/>
              <w:caps/>
              <w:sz w:val="20"/>
              <w:szCs w:val="20"/>
            </w:rPr>
            <w:t>percutaneus fixation of subtrochaeric fracture</w:t>
          </w:r>
          <w:r>
            <w:rPr>
              <w:b/>
              <w:bCs/>
              <w:color w:val="76923C"/>
              <w:szCs w:val="24"/>
            </w:rPr>
            <w:t>]</w:t>
          </w:r>
        </w:p>
      </w:tc>
      <w:tc>
        <w:tcPr>
          <w:tcW w:w="3003" w:type="dxa"/>
          <w:tcBorders>
            <w:bottom w:val="single" w:sz="4" w:space="0" w:color="FF0000"/>
          </w:tcBorders>
          <w:shd w:val="clear" w:color="auto" w:fill="943634"/>
          <w:vAlign w:val="bottom"/>
        </w:tcPr>
        <w:p w:rsidR="002B1CB3" w:rsidRDefault="001B6144">
          <w:pPr>
            <w:pStyle w:val="Header"/>
            <w:snapToGrid w:val="0"/>
            <w:rPr>
              <w:sz w:val="20"/>
              <w:szCs w:val="20"/>
            </w:rPr>
          </w:pPr>
          <w:r>
            <w:rPr>
              <w:sz w:val="20"/>
              <w:szCs w:val="20"/>
            </w:rPr>
            <w:t>2013-2014</w:t>
          </w:r>
        </w:p>
      </w:tc>
    </w:tr>
  </w:tbl>
  <w:p w:rsidR="002B1CB3" w:rsidRDefault="002B1C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EC3EBF"/>
    <w:rsid w:val="00025885"/>
    <w:rsid w:val="001B6144"/>
    <w:rsid w:val="001D2A7A"/>
    <w:rsid w:val="002B1CB3"/>
    <w:rsid w:val="003811EF"/>
    <w:rsid w:val="00EC3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CB3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B1CB3"/>
  </w:style>
  <w:style w:type="character" w:customStyle="1" w:styleId="WW-Absatz-Standardschriftart">
    <w:name w:val="WW-Absatz-Standardschriftart"/>
    <w:rsid w:val="002B1CB3"/>
  </w:style>
  <w:style w:type="character" w:customStyle="1" w:styleId="HeaderChar">
    <w:name w:val="Header Char"/>
    <w:basedOn w:val="DefaultParagraphFont"/>
    <w:rsid w:val="002B1CB3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FooterChar">
    <w:name w:val="Footer Char"/>
    <w:basedOn w:val="DefaultParagraphFont"/>
    <w:rsid w:val="002B1CB3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BalloonTextChar">
    <w:name w:val="Balloon Text Char"/>
    <w:basedOn w:val="DefaultParagraphFont"/>
    <w:rsid w:val="002B1CB3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Heading">
    <w:name w:val="Heading"/>
    <w:basedOn w:val="Normal"/>
    <w:next w:val="BodyText"/>
    <w:rsid w:val="002B1CB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2B1CB3"/>
    <w:pPr>
      <w:spacing w:after="120"/>
    </w:pPr>
  </w:style>
  <w:style w:type="paragraph" w:styleId="List">
    <w:name w:val="List"/>
    <w:basedOn w:val="BodyText"/>
    <w:rsid w:val="002B1CB3"/>
  </w:style>
  <w:style w:type="paragraph" w:styleId="Caption">
    <w:name w:val="caption"/>
    <w:basedOn w:val="Normal"/>
    <w:qFormat/>
    <w:rsid w:val="002B1CB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B1CB3"/>
    <w:pPr>
      <w:suppressLineNumbers/>
    </w:pPr>
  </w:style>
  <w:style w:type="paragraph" w:styleId="Header">
    <w:name w:val="header"/>
    <w:basedOn w:val="Normal"/>
    <w:rsid w:val="002B1CB3"/>
    <w:pPr>
      <w:tabs>
        <w:tab w:val="center" w:pos="4680"/>
        <w:tab w:val="right" w:pos="9360"/>
      </w:tabs>
    </w:pPr>
    <w:rPr>
      <w:szCs w:val="21"/>
    </w:rPr>
  </w:style>
  <w:style w:type="paragraph" w:styleId="Footer">
    <w:name w:val="footer"/>
    <w:basedOn w:val="Normal"/>
    <w:rsid w:val="002B1CB3"/>
    <w:pPr>
      <w:tabs>
        <w:tab w:val="center" w:pos="4680"/>
        <w:tab w:val="right" w:pos="9360"/>
      </w:tabs>
    </w:pPr>
    <w:rPr>
      <w:szCs w:val="21"/>
    </w:rPr>
  </w:style>
  <w:style w:type="paragraph" w:styleId="BalloonText">
    <w:name w:val="Balloon Text"/>
    <w:basedOn w:val="Normal"/>
    <w:rsid w:val="002B1CB3"/>
    <w:rPr>
      <w:rFonts w:ascii="Tahoma" w:hAnsi="Tahoma"/>
      <w:sz w:val="16"/>
      <w:szCs w:val="14"/>
    </w:rPr>
  </w:style>
  <w:style w:type="paragraph" w:customStyle="1" w:styleId="TableContents">
    <w:name w:val="Table Contents"/>
    <w:basedOn w:val="Normal"/>
    <w:rsid w:val="002B1CB3"/>
    <w:pPr>
      <w:suppressLineNumbers/>
    </w:pPr>
  </w:style>
  <w:style w:type="paragraph" w:customStyle="1" w:styleId="TableHeading">
    <w:name w:val="Table Heading"/>
    <w:basedOn w:val="TableContents"/>
    <w:rsid w:val="002B1CB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percutaneus fixation of subtrochaeric fracture</dc:title>
  <dc:creator>ff</dc:creator>
  <cp:lastModifiedBy>ff</cp:lastModifiedBy>
  <cp:revision>2</cp:revision>
  <cp:lastPrinted>2013-11-09T17:22:00Z</cp:lastPrinted>
  <dcterms:created xsi:type="dcterms:W3CDTF">2015-05-04T14:40:00Z</dcterms:created>
  <dcterms:modified xsi:type="dcterms:W3CDTF">2015-05-04T14:40:00Z</dcterms:modified>
</cp:coreProperties>
</file>