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tbl>
      <w:tblPr/>
      <w:tblGrid>
        <w:gridCol w:w="9585"/>
      </w:tblGrid>
      <w:tr>
        <w:trPr>
          <w:trHeight w:val="1" w:hRule="atLeast"/>
          <w:jc w:val="left"/>
        </w:trPr>
        <w:tc>
          <w:tcPr>
            <w:tcW w:w="9585" w:type="dxa"/>
            <w:tcBorders>
              <w:top w:val="single" w:color="000000" w:sz="0"/>
              <w:left w:val="single" w:color="000000" w:sz="0"/>
              <w:bottom w:val="single" w:color="000000" w:sz="0"/>
              <w:right w:val="single" w:color="000000" w:sz="0"/>
            </w:tcBorders>
            <w:shd w:color="auto" w:fill="auto" w:val="clear"/>
            <w:tcMar>
              <w:left w:w="112" w:type="dxa"/>
              <w:right w:w="112" w:type="dxa"/>
            </w:tcMar>
            <w:vAlign w:val="center"/>
          </w:tcPr>
          <w:p>
            <w:pPr>
              <w:spacing w:before="0" w:after="150" w:line="240"/>
              <w:ind w:right="0" w:left="0" w:firstLine="0"/>
              <w:jc w:val="left"/>
              <w:rPr>
                <w:spacing w:val="0"/>
                <w:position w:val="0"/>
                <w:shd w:fill="auto" w:val="clear"/>
              </w:rPr>
            </w:pPr>
            <w:r>
              <w:rPr>
                <w:rFonts w:ascii="montserratbold" w:hAnsi="montserratbold" w:cs="montserratbold" w:eastAsia="montserratbold"/>
                <w:i/>
                <w:color w:val="3F3F3F"/>
                <w:spacing w:val="0"/>
                <w:position w:val="0"/>
                <w:sz w:val="30"/>
                <w:shd w:fill="auto" w:val="clear"/>
              </w:rPr>
              <w:t xml:space="preserve">Abstract 90190 </w:t>
            </w:r>
          </w:p>
        </w:tc>
      </w:tr>
      <w:tr>
        <w:trPr>
          <w:trHeight w:val="1" w:hRule="atLeast"/>
          <w:jc w:val="left"/>
        </w:trPr>
        <w:tc>
          <w:tcPr>
            <w:tcW w:w="9585" w:type="dxa"/>
            <w:tcBorders>
              <w:top w:val="single" w:color="000000" w:sz="0"/>
              <w:left w:val="single" w:color="000000" w:sz="0"/>
              <w:bottom w:val="single" w:color="000000" w:sz="0"/>
              <w:right w:val="single" w:color="000000" w:sz="0"/>
            </w:tcBorders>
            <w:shd w:color="auto" w:fill="auto" w:val="clear"/>
            <w:tcMar>
              <w:left w:w="0" w:type="dxa"/>
              <w:right w:w="0" w:type="dxa"/>
            </w:tcMar>
            <w:vAlign w:val="top"/>
          </w:tcPr>
          <w:tbl>
            <w:tblPr>
              <w:tblInd w:w="300" w:type="dxa"/>
            </w:tblPr>
            <w:tblGrid>
              <w:gridCol w:w="9285"/>
            </w:tblGrid>
            <w:tr>
              <w:trPr>
                <w:trHeight w:val="1" w:hRule="atLeast"/>
                <w:jc w:val="left"/>
              </w:trPr>
              <w:tc>
                <w:tcPr>
                  <w:tcW w:w="9285" w:type="dxa"/>
                  <w:tcBorders>
                    <w:top w:val="single" w:color="000000" w:sz="0"/>
                    <w:left w:val="single" w:color="000000" w:sz="0"/>
                    <w:bottom w:val="single" w:color="000000" w:sz="0"/>
                    <w:right w:val="single" w:color="000000" w:sz="0"/>
                  </w:tcBorders>
                  <w:shd w:color="auto" w:fill="auto" w:val="clear"/>
                  <w:tcMar>
                    <w:left w:w="0" w:type="dxa"/>
                    <w:right w:w="0" w:type="dxa"/>
                  </w:tcMar>
                  <w:vAlign w:val="center"/>
                </w:tcPr>
                <w:tbl>
                  <w:tblPr/>
                  <w:tblGrid>
                    <w:gridCol w:w="8887"/>
                    <w:gridCol w:w="398"/>
                  </w:tblGrid>
                  <w:tr>
                    <w:trPr>
                      <w:trHeight w:val="1" w:hRule="atLeast"/>
                      <w:jc w:val="left"/>
                    </w:trPr>
                    <w:tc>
                      <w:tcPr>
                        <w:tcW w:w="9285" w:type="dxa"/>
                        <w:gridSpan w:val="2"/>
                        <w:tcBorders>
                          <w:top w:val="single" w:color="000000" w:sz="0"/>
                          <w:left w:val="single" w:color="000000" w:sz="0"/>
                          <w:bottom w:val="single" w:color="000000" w:sz="0"/>
                          <w:right w:val="single" w:color="000000" w:sz="0"/>
                        </w:tcBorders>
                        <w:shd w:color="auto" w:fill="auto"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887" w:type="dxa"/>
                        <w:tcBorders>
                          <w:top w:val="single" w:color="000000" w:sz="0"/>
                          <w:left w:val="single" w:color="000000" w:sz="0"/>
                          <w:bottom w:val="single" w:color="000000" w:sz="0"/>
                          <w:right w:val="single" w:color="000000" w:sz="0"/>
                        </w:tcBorders>
                        <w:shd w:color="auto" w:fill="auto" w:val="clear"/>
                        <w:tcMar>
                          <w:left w:w="0" w:type="dxa"/>
                          <w:right w:w="0" w:type="dxa"/>
                        </w:tcMar>
                        <w:vAlign w:val="center"/>
                      </w:tcPr>
                      <w:p>
                        <w:pPr>
                          <w:spacing w:before="0" w:after="0" w:line="240"/>
                          <w:ind w:right="0" w:left="0" w:firstLine="0"/>
                          <w:jc w:val="left"/>
                          <w:rPr>
                            <w:spacing w:val="0"/>
                            <w:position w:val="0"/>
                            <w:shd w:fill="auto" w:val="clear"/>
                          </w:rPr>
                        </w:pPr>
                        <w:r>
                          <w:rPr>
                            <w:rFonts w:ascii="segoe_uiregular" w:hAnsi="segoe_uiregular" w:cs="segoe_uiregular" w:eastAsia="segoe_uiregular"/>
                            <w:b/>
                            <w:color w:val="333333"/>
                            <w:spacing w:val="0"/>
                            <w:position w:val="0"/>
                            <w:sz w:val="20"/>
                            <w:shd w:fill="auto" w:val="clear"/>
                          </w:rPr>
                          <w:t xml:space="preserve">Abstract Preview</w:t>
                        </w:r>
                      </w:p>
                    </w:tc>
                    <w:tc>
                      <w:tcPr>
                        <w:tcW w:w="398" w:type="dxa"/>
                        <w:tcBorders>
                          <w:top w:val="single" w:color="000000" w:sz="0"/>
                          <w:left w:val="single" w:color="000000" w:sz="0"/>
                          <w:bottom w:val="single" w:color="000000" w:sz="0"/>
                          <w:right w:val="single" w:color="000000" w:sz="0"/>
                        </w:tcBorders>
                        <w:shd w:color="auto" w:fill="auto" w:val="clear"/>
                        <w:tcMar>
                          <w:left w:w="0" w:type="dxa"/>
                          <w:right w:w="0" w:type="dxa"/>
                        </w:tcMar>
                        <w:vAlign w:val="center"/>
                      </w:tcPr>
                      <w:p>
                        <w:pPr>
                          <w:spacing w:before="0" w:after="0" w:line="240"/>
                          <w:ind w:right="0" w:left="0" w:firstLine="0"/>
                          <w:jc w:val="left"/>
                          <w:rPr>
                            <w:spacing w:val="0"/>
                            <w:position w:val="0"/>
                            <w:shd w:fill="auto" w:val="clear"/>
                          </w:rPr>
                        </w:pPr>
                        <w:r>
                          <w:rPr>
                            <w:rFonts w:ascii="segoe_uiregular" w:hAnsi="segoe_uiregular" w:cs="segoe_uiregular" w:eastAsia="segoe_uiregular"/>
                            <w:color w:val="333333"/>
                            <w:spacing w:val="0"/>
                            <w:position w:val="0"/>
                            <w:sz w:val="20"/>
                            <w:shd w:fill="auto" w:val="clear"/>
                          </w:rPr>
                          <w:t xml:space="preserve"> </w:t>
                        </w:r>
                      </w:p>
                    </w:tc>
                  </w:tr>
                  <w:tr>
                    <w:trPr>
                      <w:trHeight w:val="1" w:hRule="atLeast"/>
                      <w:jc w:val="left"/>
                    </w:trPr>
                    <w:tc>
                      <w:tcPr>
                        <w:tcW w:w="9285" w:type="dxa"/>
                        <w:gridSpan w:val="2"/>
                        <w:tcBorders>
                          <w:top w:val="single" w:color="000000" w:sz="0"/>
                          <w:left w:val="single" w:color="000000" w:sz="0"/>
                          <w:bottom w:val="single" w:color="000000" w:sz="0"/>
                          <w:right w:val="single" w:color="000000" w:sz="0"/>
                        </w:tcBorders>
                        <w:shd w:color="auto" w:fill="e5ebeb" w:val="clear"/>
                        <w:tcMar>
                          <w:left w:w="0" w:type="dxa"/>
                          <w:right w:w="0" w:type="dxa"/>
                        </w:tcMar>
                        <w:vAlign w:val="center"/>
                      </w:tcPr>
                      <w:tbl>
                        <w:tblPr/>
                        <w:tblGrid>
                          <w:gridCol w:w="10500"/>
                        </w:tblGrid>
                        <w:tr>
                          <w:trPr>
                            <w:trHeight w:val="1" w:hRule="atLeast"/>
                            <w:jc w:val="left"/>
                          </w:trPr>
                          <w:tc>
                            <w:tcPr>
                              <w:tcW w:w="10500"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tbl>
                              <w:tblPr/>
                              <w:tblGrid>
                                <w:gridCol w:w="5235"/>
                                <w:gridCol w:w="5235"/>
                              </w:tblGrid>
                              <w:tr>
                                <w:trPr>
                                  <w:trHeight w:val="1" w:hRule="atLeast"/>
                                  <w:jc w:val="left"/>
                                </w:trPr>
                                <w:tc>
                                  <w:tcPr>
                                    <w:tcW w:w="5235" w:type="dxa"/>
                                    <w:tcBorders>
                                      <w:top w:val="single" w:color="000000" w:sz="6"/>
                                      <w:left w:val="single" w:color="000000" w:sz="6"/>
                                      <w:bottom w:val="single" w:color="000000" w:sz="6"/>
                                      <w:right w:val="single" w:color="000000" w:sz="6"/>
                                    </w:tcBorders>
                                    <w:shd w:color="auto" w:fill="auto" w:val="clear"/>
                                    <w:tcMar>
                                      <w:left w:w="7" w:type="dxa"/>
                                      <w:right w:w="7" w:type="dxa"/>
                                    </w:tcMar>
                                    <w:vAlign w:val="center"/>
                                  </w:tcPr>
                                  <w:p>
                                    <w:pPr>
                                      <w:spacing w:before="0" w:after="0" w:line="240"/>
                                      <w:ind w:right="0" w:left="0" w:firstLine="0"/>
                                      <w:jc w:val="left"/>
                                      <w:rPr>
                                        <w:spacing w:val="0"/>
                                        <w:position w:val="0"/>
                                        <w:shd w:fill="auto" w:val="clear"/>
                                      </w:rPr>
                                    </w:pPr>
                                    <w:r>
                                      <w:rPr>
                                        <w:rFonts w:ascii="Arial" w:hAnsi="Arial" w:cs="Arial" w:eastAsia="Arial"/>
                                        <w:b/>
                                        <w:color w:val="333333"/>
                                        <w:spacing w:val="0"/>
                                        <w:position w:val="0"/>
                                        <w:sz w:val="20"/>
                                        <w:shd w:fill="auto" w:val="clear"/>
                                      </w:rPr>
                                      <w:t xml:space="preserve">EuroEcho-Imaging 2015</w:t>
                                    </w:r>
                                  </w:p>
                                </w:tc>
                                <w:tc>
                                  <w:tcPr>
                                    <w:tcW w:w="5235" w:type="dxa"/>
                                    <w:tcBorders>
                                      <w:top w:val="single" w:color="000000" w:sz="6"/>
                                      <w:left w:val="single" w:color="000000" w:sz="6"/>
                                      <w:bottom w:val="single" w:color="000000" w:sz="6"/>
                                      <w:right w:val="single" w:color="000000" w:sz="6"/>
                                    </w:tcBorders>
                                    <w:shd w:color="auto" w:fill="auto" w:val="clear"/>
                                    <w:tcMar>
                                      <w:left w:w="7" w:type="dxa"/>
                                      <w:right w:w="7"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spacing w:val="0"/>
                                  <w:position w:val="0"/>
                                  <w:shd w:fill="auto" w:val="clear"/>
                                </w:rPr>
                              </w:pPr>
                            </w:p>
                          </w:tc>
                        </w:tr>
                        <w:tr>
                          <w:trPr>
                            <w:trHeight w:val="1" w:hRule="atLeast"/>
                            <w:jc w:val="left"/>
                          </w:trPr>
                          <w:tc>
                            <w:tcPr>
                              <w:tcW w:w="10500"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240"/>
                                <w:ind w:right="0" w:left="0" w:firstLine="0"/>
                                <w:jc w:val="left"/>
                                <w:rPr>
                                  <w:spacing w:val="0"/>
                                  <w:position w:val="0"/>
                                  <w:shd w:fill="auto" w:val="clear"/>
                                </w:rPr>
                              </w:pPr>
                              <w:r>
                                <w:rPr>
                                  <w:rFonts w:ascii="Arial" w:hAnsi="Arial" w:cs="Arial" w:eastAsia="Arial"/>
                                  <w:color w:val="333333"/>
                                  <w:spacing w:val="0"/>
                                  <w:position w:val="0"/>
                                  <w:sz w:val="18"/>
                                  <w:shd w:fill="auto" w:val="clear"/>
                                </w:rPr>
                                <w:t xml:space="preserve">Professor Sameh Wadie Ghaly Bakhoum (EUD ID : 53767)</w:t>
                                <w:br/>
                                <w:t xml:space="preserve">Villa A 10/12. Hadayek Elsolimania.</w:t>
                                <w:br/>
                                <w:t xml:space="preserve">Sheikh Zayed City.</w:t>
                                <w:br/>
                                <w:t xml:space="preserve">EG-12588 - Sixth Of October City. Guiza. Egypt</w:t>
                                <w:br/>
                                <w:t xml:space="preserve">Phone : +20 2 37977602 - </w:t>
                                <w:br/>
                                <w:t xml:space="preserve">Email : samehbakhoum@live.com</w:t>
                              </w:r>
                            </w:p>
                          </w:tc>
                        </w:tr>
                        <w:tr>
                          <w:trPr>
                            <w:trHeight w:val="1" w:hRule="atLeast"/>
                            <w:jc w:val="left"/>
                          </w:trPr>
                          <w:tc>
                            <w:tcPr>
                              <w:tcW w:w="10500"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tbl>
                              <w:tblPr/>
                              <w:tblGrid>
                                <w:gridCol w:w="842"/>
                                <w:gridCol w:w="9628"/>
                              </w:tblGrid>
                              <w:tr>
                                <w:trPr>
                                  <w:trHeight w:val="1" w:hRule="atLeast"/>
                                  <w:jc w:val="left"/>
                                </w:trPr>
                                <w:tc>
                                  <w:tcPr>
                                    <w:tcW w:w="842"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240"/>
                                      <w:ind w:right="0" w:left="0" w:firstLine="0"/>
                                      <w:jc w:val="left"/>
                                      <w:rPr>
                                        <w:spacing w:val="0"/>
                                        <w:position w:val="0"/>
                                        <w:shd w:fill="auto" w:val="clear"/>
                                      </w:rPr>
                                    </w:pPr>
                                    <w:r>
                                      <w:rPr>
                                        <w:rFonts w:ascii="Arial" w:hAnsi="Arial" w:cs="Arial" w:eastAsia="Arial"/>
                                        <w:color w:val="333333"/>
                                        <w:spacing w:val="0"/>
                                        <w:position w:val="0"/>
                                        <w:sz w:val="18"/>
                                        <w:shd w:fill="auto" w:val="clear"/>
                                      </w:rPr>
                                      <w:t xml:space="preserve">Title :</w:t>
                                    </w:r>
                                  </w:p>
                                </w:tc>
                                <w:tc>
                                  <w:tcPr>
                                    <w:tcW w:w="9628"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240"/>
                                      <w:ind w:right="0" w:left="0" w:firstLine="0"/>
                                      <w:jc w:val="left"/>
                                      <w:rPr>
                                        <w:spacing w:val="0"/>
                                        <w:position w:val="0"/>
                                        <w:shd w:fill="auto" w:val="clear"/>
                                      </w:rPr>
                                    </w:pPr>
                                    <w:r>
                                      <w:rPr>
                                        <w:rFonts w:ascii="Arial" w:hAnsi="Arial" w:cs="Arial" w:eastAsia="Arial"/>
                                        <w:color w:val="333333"/>
                                        <w:spacing w:val="0"/>
                                        <w:position w:val="0"/>
                                        <w:sz w:val="18"/>
                                        <w:shd w:fill="auto" w:val="clear"/>
                                      </w:rPr>
                                      <w:t xml:space="preserve">Assessment of left ventricular function in type 1 diabetes mellitus patients by two-dimensional speckle tracking echocardiography: relation to duration and control of diabetes.</w:t>
                                    </w:r>
                                  </w:p>
                                </w:tc>
                              </w:tr>
                              <w:tr>
                                <w:trPr>
                                  <w:trHeight w:val="1" w:hRule="atLeast"/>
                                  <w:jc w:val="left"/>
                                </w:trPr>
                                <w:tc>
                                  <w:tcPr>
                                    <w:tcW w:w="842"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240"/>
                                      <w:ind w:right="0" w:left="0" w:firstLine="0"/>
                                      <w:jc w:val="left"/>
                                      <w:rPr>
                                        <w:spacing w:val="0"/>
                                        <w:position w:val="0"/>
                                        <w:shd w:fill="auto" w:val="clear"/>
                                      </w:rPr>
                                    </w:pPr>
                                    <w:r>
                                      <w:rPr>
                                        <w:rFonts w:ascii="Arial" w:hAnsi="Arial" w:cs="Arial" w:eastAsia="Arial"/>
                                        <w:color w:val="333333"/>
                                        <w:spacing w:val="0"/>
                                        <w:position w:val="0"/>
                                        <w:sz w:val="18"/>
                                        <w:shd w:fill="auto" w:val="clear"/>
                                      </w:rPr>
                                      <w:t xml:space="preserve">Topic : </w:t>
                                    </w:r>
                                  </w:p>
                                </w:tc>
                                <w:tc>
                                  <w:tcPr>
                                    <w:tcW w:w="9628"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240"/>
                                      <w:ind w:right="0" w:left="0" w:firstLine="0"/>
                                      <w:jc w:val="left"/>
                                      <w:rPr>
                                        <w:spacing w:val="0"/>
                                        <w:position w:val="0"/>
                                        <w:shd w:fill="auto" w:val="clear"/>
                                      </w:rPr>
                                    </w:pPr>
                                    <w:r>
                                      <w:rPr>
                                        <w:rFonts w:ascii="Arial" w:hAnsi="Arial" w:cs="Arial" w:eastAsia="Arial"/>
                                        <w:color w:val="333333"/>
                                        <w:spacing w:val="0"/>
                                        <w:position w:val="0"/>
                                        <w:sz w:val="18"/>
                                        <w:shd w:fill="auto" w:val="clear"/>
                                      </w:rPr>
                                      <w:t xml:space="preserve">20.02 - Clinical applications</w:t>
                                    </w:r>
                                  </w:p>
                                </w:tc>
                              </w:tr>
                              <w:tr>
                                <w:trPr>
                                  <w:trHeight w:val="1" w:hRule="atLeast"/>
                                  <w:jc w:val="left"/>
                                </w:trPr>
                                <w:tc>
                                  <w:tcPr>
                                    <w:tcW w:w="842"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240"/>
                                      <w:ind w:right="0" w:left="0" w:firstLine="0"/>
                                      <w:jc w:val="left"/>
                                      <w:rPr>
                                        <w:spacing w:val="0"/>
                                        <w:position w:val="0"/>
                                        <w:shd w:fill="auto" w:val="clear"/>
                                      </w:rPr>
                                    </w:pPr>
                                    <w:r>
                                      <w:rPr>
                                        <w:rFonts w:ascii="Arial" w:hAnsi="Arial" w:cs="Arial" w:eastAsia="Arial"/>
                                        <w:color w:val="333333"/>
                                        <w:spacing w:val="0"/>
                                        <w:position w:val="0"/>
                                        <w:sz w:val="18"/>
                                        <w:shd w:fill="auto" w:val="clear"/>
                                      </w:rPr>
                                      <w:t xml:space="preserve">Category :</w:t>
                                    </w:r>
                                  </w:p>
                                </w:tc>
                                <w:tc>
                                  <w:tcPr>
                                    <w:tcW w:w="9628"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240"/>
                                      <w:ind w:right="0" w:left="0" w:firstLine="0"/>
                                      <w:jc w:val="left"/>
                                      <w:rPr>
                                        <w:spacing w:val="0"/>
                                        <w:position w:val="0"/>
                                        <w:shd w:fill="auto" w:val="clear"/>
                                      </w:rPr>
                                    </w:pPr>
                                    <w:r>
                                      <w:rPr>
                                        <w:rFonts w:ascii="Arial" w:hAnsi="Arial" w:cs="Arial" w:eastAsia="Arial"/>
                                        <w:color w:val="333333"/>
                                        <w:spacing w:val="0"/>
                                        <w:position w:val="0"/>
                                        <w:sz w:val="18"/>
                                        <w:shd w:fill="auto" w:val="clear"/>
                                      </w:rPr>
                                      <w:t xml:space="preserve">General</w:t>
                                    </w:r>
                                  </w:p>
                                </w:tc>
                              </w:tr>
                              <w:tr>
                                <w:trPr>
                                  <w:trHeight w:val="1" w:hRule="atLeast"/>
                                  <w:jc w:val="left"/>
                                </w:trPr>
                                <w:tc>
                                  <w:tcPr>
                                    <w:tcW w:w="842"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240"/>
                                      <w:ind w:right="0" w:left="0" w:firstLine="0"/>
                                      <w:jc w:val="left"/>
                                      <w:rPr>
                                        <w:spacing w:val="0"/>
                                        <w:position w:val="0"/>
                                        <w:shd w:fill="auto" w:val="clear"/>
                                      </w:rPr>
                                    </w:pPr>
                                    <w:r>
                                      <w:rPr>
                                        <w:rFonts w:ascii="Arial" w:hAnsi="Arial" w:cs="Arial" w:eastAsia="Arial"/>
                                        <w:color w:val="333333"/>
                                        <w:spacing w:val="0"/>
                                        <w:position w:val="0"/>
                                        <w:sz w:val="18"/>
                                        <w:shd w:fill="auto" w:val="clear"/>
                                      </w:rPr>
                                      <w:t xml:space="preserve">Option :</w:t>
                                    </w:r>
                                  </w:p>
                                </w:tc>
                                <w:tc>
                                  <w:tcPr>
                                    <w:tcW w:w="9628"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240"/>
                                      <w:ind w:right="0" w:left="0" w:firstLine="0"/>
                                      <w:jc w:val="left"/>
                                      <w:rPr>
                                        <w:spacing w:val="0"/>
                                        <w:position w:val="0"/>
                                        <w:shd w:fill="auto" w:val="clear"/>
                                      </w:rPr>
                                    </w:pPr>
                                    <w:r>
                                      <w:rPr>
                                        <w:rFonts w:ascii="Arial" w:hAnsi="Arial" w:cs="Arial" w:eastAsia="Arial"/>
                                        <w:color w:val="333333"/>
                                        <w:spacing w:val="0"/>
                                        <w:position w:val="0"/>
                                        <w:sz w:val="18"/>
                                        <w:shd w:fill="auto" w:val="clear"/>
                                      </w:rPr>
                                      <w:t xml:space="preserve">No Options</w:t>
                                    </w:r>
                                  </w:p>
                                </w:tc>
                              </w:tr>
                            </w:tbl>
                            <w:p>
                              <w:pPr>
                                <w:spacing w:before="0" w:after="0" w:line="240"/>
                                <w:ind w:right="0" w:left="0" w:firstLine="0"/>
                                <w:jc w:val="left"/>
                                <w:rPr>
                                  <w:spacing w:val="0"/>
                                  <w:position w:val="0"/>
                                  <w:shd w:fill="auto" w:val="clear"/>
                                </w:rPr>
                              </w:pPr>
                            </w:p>
                          </w:tc>
                        </w:tr>
                        <w:tr>
                          <w:trPr>
                            <w:trHeight w:val="1" w:hRule="atLeast"/>
                            <w:jc w:val="left"/>
                          </w:trPr>
                          <w:tc>
                            <w:tcPr>
                              <w:tcW w:w="10500"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240"/>
                                <w:ind w:right="0" w:left="0" w:firstLine="0"/>
                                <w:jc w:val="left"/>
                                <w:rPr>
                                  <w:spacing w:val="0"/>
                                  <w:position w:val="0"/>
                                  <w:shd w:fill="auto" w:val="clear"/>
                                </w:rPr>
                              </w:pPr>
                              <w:r>
                                <w:rPr>
                                  <w:rFonts w:ascii="Arial" w:hAnsi="Arial" w:cs="Arial" w:eastAsia="Arial"/>
                                  <w:color w:val="333333"/>
                                  <w:spacing w:val="0"/>
                                  <w:position w:val="0"/>
                                  <w:sz w:val="18"/>
                                  <w:shd w:fill="auto" w:val="clear"/>
                                </w:rPr>
                                <w:t xml:space="preserve">H A. Habeeb</w:t>
                              </w:r>
                              <w:r>
                                <w:rPr>
                                  <w:rFonts w:ascii="Arial" w:hAnsi="Arial" w:cs="Arial" w:eastAsia="Arial"/>
                                  <w:color w:val="333333"/>
                                  <w:spacing w:val="0"/>
                                  <w:position w:val="0"/>
                                  <w:sz w:val="14"/>
                                  <w:shd w:fill="auto" w:val="clear"/>
                                  <w:vertAlign w:val="superscript"/>
                                </w:rPr>
                                <w:t xml:space="preserve">1</w:t>
                              </w:r>
                              <w:r>
                                <w:rPr>
                                  <w:rFonts w:ascii="Arial" w:hAnsi="Arial" w:cs="Arial" w:eastAsia="Arial"/>
                                  <w:color w:val="333333"/>
                                  <w:spacing w:val="0"/>
                                  <w:position w:val="0"/>
                                  <w:sz w:val="18"/>
                                  <w:shd w:fill="auto" w:val="clear"/>
                                </w:rPr>
                                <w:t xml:space="preserve">, S W G. Bakhoum</w:t>
                              </w:r>
                              <w:r>
                                <w:rPr>
                                  <w:rFonts w:ascii="Arial" w:hAnsi="Arial" w:cs="Arial" w:eastAsia="Arial"/>
                                  <w:color w:val="333333"/>
                                  <w:spacing w:val="0"/>
                                  <w:position w:val="0"/>
                                  <w:sz w:val="14"/>
                                  <w:shd w:fill="auto" w:val="clear"/>
                                  <w:vertAlign w:val="superscript"/>
                                </w:rPr>
                                <w:t xml:space="preserve">2</w:t>
                              </w:r>
                              <w:r>
                                <w:rPr>
                                  <w:rFonts w:ascii="Arial" w:hAnsi="Arial" w:cs="Arial" w:eastAsia="Arial"/>
                                  <w:color w:val="333333"/>
                                  <w:spacing w:val="0"/>
                                  <w:position w:val="0"/>
                                  <w:sz w:val="18"/>
                                  <w:shd w:fill="auto" w:val="clear"/>
                                </w:rPr>
                                <w:t xml:space="preserve">, M N. Nabil</w:t>
                              </w:r>
                              <w:r>
                                <w:rPr>
                                  <w:rFonts w:ascii="Arial" w:hAnsi="Arial" w:cs="Arial" w:eastAsia="Arial"/>
                                  <w:color w:val="333333"/>
                                  <w:spacing w:val="0"/>
                                  <w:position w:val="0"/>
                                  <w:sz w:val="14"/>
                                  <w:shd w:fill="auto" w:val="clear"/>
                                  <w:vertAlign w:val="superscript"/>
                                </w:rPr>
                                <w:t xml:space="preserve">1</w:t>
                              </w:r>
                              <w:r>
                                <w:rPr>
                                  <w:rFonts w:ascii="Arial" w:hAnsi="Arial" w:cs="Arial" w:eastAsia="Arial"/>
                                  <w:color w:val="333333"/>
                                  <w:spacing w:val="0"/>
                                  <w:position w:val="0"/>
                                  <w:sz w:val="18"/>
                                  <w:shd w:fill="auto" w:val="clear"/>
                                </w:rPr>
                                <w:t xml:space="preserve">, I N. Elebrashy</w:t>
                              </w:r>
                              <w:r>
                                <w:rPr>
                                  <w:rFonts w:ascii="Arial" w:hAnsi="Arial" w:cs="Arial" w:eastAsia="Arial"/>
                                  <w:color w:val="333333"/>
                                  <w:spacing w:val="0"/>
                                  <w:position w:val="0"/>
                                  <w:sz w:val="14"/>
                                  <w:shd w:fill="auto" w:val="clear"/>
                                  <w:vertAlign w:val="superscript"/>
                                </w:rPr>
                                <w:t xml:space="preserve">1</w:t>
                              </w:r>
                              <w:r>
                                <w:rPr>
                                  <w:rFonts w:ascii="Arial" w:hAnsi="Arial" w:cs="Arial" w:eastAsia="Arial"/>
                                  <w:color w:val="333333"/>
                                  <w:spacing w:val="0"/>
                                  <w:position w:val="0"/>
                                  <w:sz w:val="18"/>
                                  <w:shd w:fill="auto" w:val="clear"/>
                                </w:rPr>
                                <w:t xml:space="preserve"> - (1) Cairo University, Kasr Al-Ainy Hospital- Faculty of Medicine, Cairo, Egypt, Internal medicine, Cairo, Egypt (2) Cairo University, Kasr Al-Ainy Hospital-Faculty of Medicine, Department of Cardiology, Cairo, Egypt</w:t>
                              </w:r>
                            </w:p>
                          </w:tc>
                        </w:tr>
                        <w:tr>
                          <w:trPr>
                            <w:trHeight w:val="1" w:hRule="atLeast"/>
                            <w:jc w:val="left"/>
                          </w:trPr>
                          <w:tc>
                            <w:tcPr>
                              <w:tcW w:w="10500"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tbl>
                              <w:tblPr/>
                              <w:tblGrid>
                                <w:gridCol w:w="10470"/>
                              </w:tblGrid>
                              <w:tr>
                                <w:trPr>
                                  <w:trHeight w:val="1" w:hRule="atLeast"/>
                                  <w:jc w:val="left"/>
                                </w:trPr>
                                <w:tc>
                                  <w:tcPr>
                                    <w:tcW w:w="10470" w:type="dxa"/>
                                    <w:tcBorders>
                                      <w:top w:val="single" w:color="000000" w:sz="6"/>
                                      <w:left w:val="single" w:color="000000" w:sz="6"/>
                                      <w:bottom w:val="single" w:color="000000" w:sz="6"/>
                                      <w:right w:val="single" w:color="000000" w:sz="6"/>
                                    </w:tcBorders>
                                    <w:shd w:color="auto" w:fill="auto" w:val="clear"/>
                                    <w:tcMar>
                                      <w:left w:w="0" w:type="dxa"/>
                                      <w:right w:w="0" w:type="dxa"/>
                                    </w:tcMar>
                                    <w:vAlign w:val="center"/>
                                  </w:tcPr>
                                  <w:p>
                                    <w:pPr>
                                      <w:spacing w:before="0" w:after="0" w:line="240"/>
                                      <w:ind w:right="0" w:left="0" w:firstLine="0"/>
                                      <w:jc w:val="left"/>
                                      <w:rPr>
                                        <w:spacing w:val="0"/>
                                        <w:position w:val="0"/>
                                        <w:shd w:fill="auto" w:val="clear"/>
                                      </w:rPr>
                                    </w:pPr>
                                    <w:r>
                                      <w:rPr>
                                        <w:rFonts w:ascii="Arial" w:hAnsi="Arial" w:cs="Arial" w:eastAsia="Arial"/>
                                        <w:color w:val="333333"/>
                                        <w:spacing w:val="0"/>
                                        <w:position w:val="0"/>
                                        <w:sz w:val="20"/>
                                        <w:shd w:fill="auto" w:val="clear"/>
                                      </w:rPr>
                                      <w:t xml:space="preserve">Purpose: The aim of this study was to examine the usefulness of two-dimensional speckle tracking echocardiography (STE) in detecting subclinical LV dysfunction in asymptomatic type 1 diabetes mellitus (T1DM) patients and to detect whether any detected LV abnormalities are related to duration or control of DM. Methods: Sixty young patients (age 21.1± 5.7 years) with T1DM without clinically evident cardiovascular disease and 30 healthy age and sex-matched controls were subjected to two dimensional conventional echocardiography and STE. The left ventricular (LV) peak systolic (PS) global longitudinal strain (GLS), global longitudinal strain rate (GLSR), diastolic global strain rate during the isovolumic relaxation period (GSRivr), early diastole (GSRe), late diastole (GSRa) were calculated as the average of the S and SR of the 12 myocardial segments of the four and two-chamber views. The PS mid circumferential strain (MCS) was calculated as the average of S of the 6 LV segments of the mid LV cavity short axis view. Results: The LV end diastolic dimension (LVEDD) was significantly lower in diabetic patients compared to controls (44 ± 5 vs. 48± 4 mm; p=0.000) while the LV end systolic dimension, septal, posterior wall thicknesses and ejection fraction were similar in both groups. The Doppler trans-mitral peak A wave velocity, the LV myocardial performance index (LVMPI) and E/latE’ ratio were significantly higher in diabetic patients compared to controls (64.3± 14.1 vs. 56.1± 10 cm/sec, p=0.003; 0.57± 0.18 vs. 0.39± 0.04, p=0.000; and 5.1± 1.5 vs. 4.5± 0.9, p=0.02 respectively). The GLS was significantly lower in diabetic patients compared to controls (-16.9± 3.4 vs. -19.2± 2; p=0.000) while the MCS, GLSR, GSRivr, GSRe, and GSRa were similar in both groups. Pearson correlation analysis was used to detect possible correlation between disease duration, total cholesterol, low density lipoprotein cholesterol (LDL-C), high density lipoprotein cholesterol, urinary albumin/creatinine ratio, glycosylated hemoglobin (HbA1c), LVEDD, peak A wave velocity, LVMPI, E/latE’ ratio  and GLS in patients. A significant negative correlation was only detected between LDL-C and GLS (r= -0.4; p=0.002). Multivariate logistic regression analysis identified HbA1c as the only independent predictor of GLS in patients (beta= -0.34, 95% CI: -0.67 − -0.19; p= 0.001). Conclusion: STE is useful to detect subclinical LV dysfunction in asymptomatic patients with T1DM. Control of DM but not duration of disease was an independent predictor of LV systolic dysfunction.</w:t>
                                    </w:r>
                                  </w:p>
                                </w:tc>
                              </w:tr>
                            </w:tbl>
                            <w:p>
                              <w:pPr>
                                <w:spacing w:before="0" w:after="0" w:line="240"/>
                                <w:ind w:right="0" w:left="0" w:firstLine="0"/>
                                <w:jc w:val="left"/>
                                <w:rPr>
                                  <w:spacing w:val="0"/>
                                  <w:position w:val="0"/>
                                  <w:shd w:fill="auto" w:val="clear"/>
                                </w:rPr>
                              </w:pPr>
                            </w:p>
                          </w:tc>
                        </w:tr>
                      </w:tbl>
                      <w:p>
                        <w:pPr>
                          <w:spacing w:before="0" w:after="0" w:line="240"/>
                          <w:ind w:right="0" w:left="0" w:firstLine="0"/>
                          <w:jc w:val="left"/>
                          <w:rPr>
                            <w:spacing w:val="0"/>
                            <w:position w:val="0"/>
                            <w:shd w:fill="auto" w:val="clear"/>
                          </w:rPr>
                        </w:pPr>
                      </w:p>
                    </w:tc>
                  </w:tr>
                </w:tbl>
                <w:p>
                  <w:pPr>
                    <w:spacing w:before="0" w:after="0" w:line="240"/>
                    <w:ind w:right="0" w:left="0" w:firstLine="0"/>
                    <w:jc w:val="left"/>
                    <w:rPr>
                      <w:spacing w:val="0"/>
                      <w:position w:val="0"/>
                      <w:shd w:fill="auto" w:val="clear"/>
                    </w:rPr>
                  </w:pPr>
                </w:p>
              </w:tc>
            </w:tr>
          </w:tbl>
          <w:p>
            <w:pPr>
              <w:spacing w:before="0" w:after="0" w:line="240"/>
              <w:ind w:right="0" w:left="0" w:firstLine="0"/>
              <w:jc w:val="left"/>
              <w:rPr>
                <w:spacing w:val="0"/>
                <w:position w:val="0"/>
                <w:shd w:fill="auto" w:val="clear"/>
              </w:rPr>
            </w:pPr>
          </w:p>
        </w:tc>
      </w:tr>
    </w:tbl>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