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2A" w:rsidRDefault="00D57A2A" w:rsidP="00555711">
      <w:pPr>
        <w:pStyle w:val="Heading1"/>
        <w:rPr>
          <w:rFonts w:eastAsia="Arial"/>
        </w:rPr>
      </w:pPr>
    </w:p>
    <w:p w:rsidR="00555711" w:rsidRPr="00555711" w:rsidRDefault="00555711" w:rsidP="00555711">
      <w:pPr>
        <w:rPr>
          <w:rFonts w:eastAsia="Arial"/>
        </w:rPr>
      </w:pPr>
    </w:p>
    <w:p w:rsidR="00D57A2A" w:rsidRPr="005427C9" w:rsidRDefault="00D57A2A" w:rsidP="006054EE">
      <w:pPr>
        <w:jc w:val="both"/>
        <w:rPr>
          <w:rFonts w:asciiTheme="majorBidi" w:eastAsia="Arial" w:hAnsiTheme="majorBidi" w:cstheme="majorBidi"/>
          <w:b/>
          <w:bCs/>
          <w:sz w:val="32"/>
          <w:szCs w:val="32"/>
        </w:rPr>
      </w:pPr>
      <w:r w:rsidRPr="005427C9">
        <w:rPr>
          <w:rFonts w:asciiTheme="majorBidi" w:eastAsia="Arial" w:hAnsiTheme="majorBidi" w:cstheme="majorBidi"/>
          <w:b/>
          <w:bCs/>
          <w:sz w:val="32"/>
          <w:szCs w:val="32"/>
        </w:rPr>
        <w:t>Evaluation of Immune Response to Hepatitis B Vaccine in Egyptian Children</w:t>
      </w:r>
    </w:p>
    <w:p w:rsidR="00D57A2A" w:rsidRPr="006054EE" w:rsidRDefault="00D57A2A" w:rsidP="006054EE">
      <w:pPr>
        <w:jc w:val="both"/>
        <w:rPr>
          <w:rFonts w:asciiTheme="majorBidi" w:eastAsia="Arial" w:hAnsiTheme="majorBidi" w:cstheme="majorBidi"/>
          <w:b/>
          <w:bCs/>
          <w:sz w:val="20"/>
          <w:szCs w:val="20"/>
        </w:rPr>
      </w:pPr>
    </w:p>
    <w:p w:rsidR="00D57A2A" w:rsidRPr="005427C9" w:rsidRDefault="005427C9" w:rsidP="006054EE">
      <w:pPr>
        <w:jc w:val="both"/>
        <w:rPr>
          <w:rFonts w:asciiTheme="majorBidi" w:eastAsia="Arial" w:hAnsiTheme="majorBidi" w:cstheme="majorBidi"/>
          <w:b/>
          <w:bCs/>
        </w:rPr>
      </w:pPr>
      <w:r w:rsidRPr="005427C9">
        <w:rPr>
          <w:rFonts w:asciiTheme="majorBidi" w:eastAsia="Arial" w:hAnsiTheme="majorBidi" w:cstheme="majorBidi"/>
          <w:b/>
          <w:bCs/>
        </w:rPr>
        <w:t xml:space="preserve">Author </w:t>
      </w:r>
      <w:proofErr w:type="gramStart"/>
      <w:r w:rsidRPr="005427C9">
        <w:rPr>
          <w:rFonts w:asciiTheme="majorBidi" w:eastAsia="Arial" w:hAnsiTheme="majorBidi" w:cstheme="majorBidi"/>
          <w:b/>
          <w:bCs/>
        </w:rPr>
        <w:t>Block  Essraa</w:t>
      </w:r>
      <w:proofErr w:type="gramEnd"/>
      <w:r w:rsidRPr="005427C9">
        <w:rPr>
          <w:rFonts w:asciiTheme="majorBidi" w:eastAsia="Arial" w:hAnsiTheme="majorBidi" w:cstheme="majorBidi"/>
          <w:b/>
          <w:bCs/>
        </w:rPr>
        <w:t xml:space="preserve"> </w:t>
      </w:r>
      <w:r w:rsidR="00D57A2A" w:rsidRPr="005427C9">
        <w:rPr>
          <w:rFonts w:asciiTheme="majorBidi" w:eastAsia="Arial" w:hAnsiTheme="majorBidi" w:cstheme="majorBidi"/>
          <w:b/>
          <w:bCs/>
        </w:rPr>
        <w:t>A</w:t>
      </w:r>
      <w:r w:rsidRPr="005427C9">
        <w:rPr>
          <w:rFonts w:asciiTheme="majorBidi" w:eastAsia="Arial" w:hAnsiTheme="majorBidi" w:cstheme="majorBidi"/>
          <w:b/>
          <w:bCs/>
        </w:rPr>
        <w:t xml:space="preserve">del </w:t>
      </w:r>
      <w:r w:rsidR="00D57A2A" w:rsidRPr="005427C9">
        <w:rPr>
          <w:rFonts w:asciiTheme="majorBidi" w:eastAsia="Arial" w:hAnsiTheme="majorBidi" w:cstheme="majorBidi"/>
          <w:b/>
          <w:bCs/>
        </w:rPr>
        <w:t>Hegazy;</w:t>
      </w:r>
    </w:p>
    <w:p w:rsidR="00D57A2A" w:rsidRPr="005427C9" w:rsidRDefault="005427C9" w:rsidP="006054EE">
      <w:pPr>
        <w:jc w:val="both"/>
        <w:rPr>
          <w:rFonts w:asciiTheme="majorBidi" w:eastAsia="Arial" w:hAnsiTheme="majorBidi" w:cstheme="majorBidi"/>
          <w:b/>
          <w:bCs/>
        </w:rPr>
      </w:pPr>
      <w:r w:rsidRPr="005427C9">
        <w:rPr>
          <w:rFonts w:asciiTheme="majorBidi" w:eastAsia="Arial" w:hAnsiTheme="majorBidi" w:cstheme="majorBidi"/>
          <w:b/>
          <w:bCs/>
        </w:rPr>
        <w:t xml:space="preserve">Cairo Univ., </w:t>
      </w:r>
      <w:r w:rsidR="00D57A2A" w:rsidRPr="005427C9">
        <w:rPr>
          <w:rFonts w:asciiTheme="majorBidi" w:eastAsia="Arial" w:hAnsiTheme="majorBidi" w:cstheme="majorBidi"/>
          <w:b/>
          <w:bCs/>
        </w:rPr>
        <w:t>Cairo, Egypt.</w:t>
      </w:r>
    </w:p>
    <w:p w:rsidR="00D57A2A" w:rsidRPr="006054EE" w:rsidRDefault="00D57A2A" w:rsidP="006054EE">
      <w:pPr>
        <w:jc w:val="both"/>
        <w:rPr>
          <w:rFonts w:asciiTheme="majorBidi" w:eastAsia="Arial" w:hAnsiTheme="majorBidi" w:cstheme="majorBidi"/>
          <w:b/>
          <w:bCs/>
          <w:sz w:val="20"/>
          <w:szCs w:val="20"/>
        </w:rPr>
      </w:pPr>
    </w:p>
    <w:p w:rsidR="00D57A2A" w:rsidRPr="006054EE" w:rsidRDefault="00D57A2A" w:rsidP="006054EE">
      <w:pPr>
        <w:jc w:val="both"/>
        <w:rPr>
          <w:rFonts w:asciiTheme="majorBidi" w:eastAsia="Arial" w:hAnsiTheme="majorBidi" w:cstheme="majorBidi"/>
          <w:b/>
          <w:bCs/>
          <w:sz w:val="20"/>
          <w:szCs w:val="20"/>
        </w:rPr>
      </w:pPr>
      <w:r w:rsidRPr="006054EE">
        <w:rPr>
          <w:rFonts w:asciiTheme="majorBidi" w:eastAsia="Arial" w:hAnsiTheme="majorBidi" w:cstheme="majorBidi"/>
          <w:b/>
          <w:bCs/>
          <w:sz w:val="20"/>
          <w:szCs w:val="20"/>
        </w:rPr>
        <w:t>Background</w:t>
      </w:r>
    </w:p>
    <w:p w:rsidR="00D57A2A" w:rsidRPr="006054EE" w:rsidRDefault="00047B2F" w:rsidP="006054EE">
      <w:pPr>
        <w:jc w:val="both"/>
        <w:rPr>
          <w:rFonts w:asciiTheme="majorBidi" w:eastAsia="Arial" w:hAnsiTheme="majorBidi" w:cstheme="majorBidi"/>
          <w:sz w:val="20"/>
          <w:szCs w:val="20"/>
        </w:rPr>
      </w:pPr>
      <w:r w:rsidRPr="006054EE">
        <w:rPr>
          <w:rFonts w:asciiTheme="majorBidi" w:eastAsia="Arial" w:hAnsiTheme="majorBidi" w:cstheme="majorBidi"/>
          <w:sz w:val="20"/>
          <w:szCs w:val="20"/>
        </w:rPr>
        <w:t xml:space="preserve">        </w:t>
      </w:r>
      <w:r w:rsidR="00D57A2A" w:rsidRPr="006054EE">
        <w:rPr>
          <w:rFonts w:asciiTheme="majorBidi" w:eastAsia="Arial" w:hAnsiTheme="majorBidi" w:cstheme="majorBidi"/>
          <w:sz w:val="20"/>
          <w:szCs w:val="20"/>
        </w:rPr>
        <w:t>Hepatitis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 B is considered a major health problem in Egypt and worldwide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 that can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 xml:space="preserve">lead to chronic hepatitis, hepatic 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cirrhosis,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hepatocell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>ular carcinoma and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 xml:space="preserve"> liver failure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>. A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pproximately 3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>50 million people worldwide had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 xml:space="preserve"> chronic HBV infection and that 1 milli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on persons die each year from </w:t>
      </w:r>
      <w:proofErr w:type="gramStart"/>
      <w:r w:rsidR="002B4D13" w:rsidRPr="006054EE">
        <w:rPr>
          <w:rFonts w:asciiTheme="majorBidi" w:eastAsia="Arial" w:hAnsiTheme="majorBidi" w:cstheme="majorBidi"/>
          <w:sz w:val="20"/>
          <w:szCs w:val="20"/>
        </w:rPr>
        <w:t>it</w:t>
      </w:r>
      <w:r w:rsidR="00821FC5">
        <w:rPr>
          <w:rFonts w:asciiTheme="majorBidi" w:eastAsia="Arial" w:hAnsiTheme="majorBidi" w:cstheme="majorBidi"/>
          <w:sz w:val="20"/>
          <w:szCs w:val="20"/>
        </w:rPr>
        <w:t>(</w:t>
      </w:r>
      <w:proofErr w:type="gramEnd"/>
      <w:r w:rsidR="00821FC5">
        <w:rPr>
          <w:rFonts w:asciiTheme="majorBidi" w:eastAsia="Arial" w:hAnsiTheme="majorBidi" w:cstheme="majorBidi"/>
          <w:sz w:val="20"/>
          <w:szCs w:val="20"/>
        </w:rPr>
        <w:t>Kao  and Chen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,</w:t>
      </w:r>
      <w:r w:rsidR="00821FC5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2000).</w:t>
      </w:r>
    </w:p>
    <w:p w:rsidR="00C2701C" w:rsidRPr="006054EE" w:rsidRDefault="00D57A2A" w:rsidP="006054EE">
      <w:pPr>
        <w:jc w:val="both"/>
        <w:rPr>
          <w:rFonts w:asciiTheme="majorBidi" w:eastAsia="Arial" w:hAnsiTheme="majorBidi" w:cstheme="majorBidi"/>
          <w:sz w:val="20"/>
          <w:szCs w:val="20"/>
        </w:rPr>
      </w:pPr>
      <w:r w:rsidRPr="006054EE">
        <w:rPr>
          <w:rFonts w:asciiTheme="majorBidi" w:eastAsia="Arial" w:hAnsiTheme="majorBidi" w:cstheme="majorBidi"/>
          <w:sz w:val="20"/>
          <w:szCs w:val="20"/>
        </w:rPr>
        <w:t xml:space="preserve">        A study in Egypt found that the prevalence rate of 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>Hepatitis B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 was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 moderately high (10.1%); higher in 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Upper Egypt 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than Lower Egypt,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 xml:space="preserve">in young adults </w:t>
      </w:r>
      <w:r w:rsidRPr="006054EE">
        <w:rPr>
          <w:rFonts w:asciiTheme="majorBidi" w:eastAsia="Arial" w:hAnsiTheme="majorBidi" w:cstheme="majorBidi"/>
          <w:sz w:val="20"/>
          <w:szCs w:val="20"/>
        </w:rPr>
        <w:t>males than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 females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(</w:t>
      </w:r>
      <w:proofErr w:type="spellStart"/>
      <w:r w:rsidR="00821FC5">
        <w:rPr>
          <w:rFonts w:asciiTheme="majorBidi" w:eastAsia="Arial" w:hAnsiTheme="majorBidi" w:cstheme="majorBidi"/>
          <w:sz w:val="20"/>
          <w:szCs w:val="20"/>
        </w:rPr>
        <w:t>Sherif</w:t>
      </w:r>
      <w:proofErr w:type="spellEnd"/>
      <w:r w:rsidR="00821FC5">
        <w:rPr>
          <w:rFonts w:asciiTheme="majorBidi" w:eastAsia="Arial" w:hAnsiTheme="majorBidi" w:cstheme="majorBidi"/>
          <w:sz w:val="20"/>
          <w:szCs w:val="20"/>
        </w:rPr>
        <w:t xml:space="preserve"> et al.</w:t>
      </w:r>
      <w:r w:rsidRPr="006054EE">
        <w:rPr>
          <w:rFonts w:asciiTheme="majorBidi" w:eastAsia="Arial" w:hAnsiTheme="majorBidi" w:cstheme="majorBidi"/>
          <w:sz w:val="20"/>
          <w:szCs w:val="20"/>
        </w:rPr>
        <w:t>,</w:t>
      </w:r>
      <w:r w:rsidR="00821FC5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Pr="006054EE">
        <w:rPr>
          <w:rFonts w:asciiTheme="majorBidi" w:eastAsia="Arial" w:hAnsiTheme="majorBidi" w:cstheme="majorBidi"/>
          <w:sz w:val="20"/>
          <w:szCs w:val="20"/>
        </w:rPr>
        <w:t>2005)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.</w:t>
      </w:r>
      <w:r w:rsidR="002B4D13" w:rsidRPr="006054EE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In 1992,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 xml:space="preserve">WHO 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recommended that all countries integrate hepatitis B vaccine 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(recombinant DNA-based vaccine, targetin</w:t>
      </w:r>
      <w:r w:rsidR="00821FC5">
        <w:rPr>
          <w:rFonts w:asciiTheme="majorBidi" w:eastAsia="Arial" w:hAnsiTheme="majorBidi" w:cstheme="majorBidi"/>
          <w:sz w:val="20"/>
          <w:szCs w:val="20"/>
        </w:rPr>
        <w:t>g the HBV major surface protein</w:t>
      </w:r>
      <w:r w:rsidR="00C2701C" w:rsidRPr="006054EE">
        <w:rPr>
          <w:rFonts w:asciiTheme="majorBidi" w:eastAsia="Arial" w:hAnsiTheme="majorBidi" w:cstheme="majorBidi"/>
          <w:sz w:val="20"/>
          <w:szCs w:val="20"/>
        </w:rPr>
        <w:t>) i</w:t>
      </w:r>
      <w:r w:rsidRPr="006054EE">
        <w:rPr>
          <w:rFonts w:asciiTheme="majorBidi" w:eastAsia="Arial" w:hAnsiTheme="majorBidi" w:cstheme="majorBidi"/>
          <w:sz w:val="20"/>
          <w:szCs w:val="20"/>
        </w:rPr>
        <w:t xml:space="preserve">nto national immunization </w:t>
      </w:r>
      <w:proofErr w:type="gramStart"/>
      <w:r w:rsidRPr="006054EE">
        <w:rPr>
          <w:rFonts w:asciiTheme="majorBidi" w:eastAsia="Arial" w:hAnsiTheme="majorBidi" w:cstheme="majorBidi"/>
          <w:sz w:val="20"/>
          <w:szCs w:val="20"/>
        </w:rPr>
        <w:t>programs</w:t>
      </w:r>
      <w:r w:rsidR="00821FC5">
        <w:rPr>
          <w:rFonts w:asciiTheme="majorBidi" w:eastAsia="Arial" w:hAnsiTheme="majorBidi" w:cstheme="majorBidi"/>
          <w:sz w:val="20"/>
          <w:szCs w:val="20"/>
        </w:rPr>
        <w:t>.</w:t>
      </w:r>
      <w:proofErr w:type="gramEnd"/>
    </w:p>
    <w:p w:rsidR="00D57A2A" w:rsidRPr="00D57A2A" w:rsidRDefault="002B4D13" w:rsidP="006054EE">
      <w:pPr>
        <w:jc w:val="both"/>
        <w:rPr>
          <w:rFonts w:asciiTheme="majorBidi" w:eastAsia="Arial" w:hAnsiTheme="majorBidi" w:cstheme="majorBidi"/>
          <w:sz w:val="20"/>
          <w:szCs w:val="20"/>
        </w:rPr>
      </w:pPr>
      <w:r w:rsidRPr="006054EE">
        <w:rPr>
          <w:rFonts w:asciiTheme="majorBidi" w:eastAsia="Arial" w:hAnsiTheme="majorBidi" w:cstheme="majorBidi"/>
          <w:sz w:val="20"/>
          <w:szCs w:val="20"/>
        </w:rPr>
        <w:t xml:space="preserve"> </w:t>
      </w:r>
      <w:r w:rsidR="00D57A2A" w:rsidRPr="00D57A2A">
        <w:rPr>
          <w:rFonts w:asciiTheme="majorBidi" w:eastAsiaTheme="minorEastAsia" w:hAnsiTheme="majorBidi" w:cstheme="majorBidi"/>
          <w:b/>
          <w:bCs/>
          <w:color w:val="auto"/>
          <w:sz w:val="20"/>
          <w:szCs w:val="20"/>
          <w:lang w:val="en"/>
        </w:rPr>
        <w:t xml:space="preserve">MATERIALS AND METHODS </w:t>
      </w:r>
      <w:r w:rsidR="00D57A2A" w:rsidRPr="00D57A2A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            </w:t>
      </w:r>
    </w:p>
    <w:p w:rsidR="00D57A2A" w:rsidRPr="006054EE" w:rsidRDefault="00D57A2A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D57A2A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     The present study was conducted on 182 children </w:t>
      </w:r>
      <w:r w:rsidR="00821FC5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>(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>110</w:t>
      </w:r>
      <w:r w:rsidR="00D75CE6"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males and 72 females categorized into eight age</w:t>
      </w:r>
      <w:r w:rsidR="002B4D13"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groups from 2 -10 y/o</w:t>
      </w:r>
      <w:r w:rsidR="00D75CE6"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).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</w:t>
      </w:r>
      <w:r w:rsidR="00D75CE6"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Children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 </w:t>
      </w:r>
      <w:r w:rsidRPr="00D57A2A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>had received HBV vaccine at 2, 4, and 6 months of age, according to the</w:t>
      </w:r>
      <w:r w:rsidR="002B4D13" w:rsidRPr="006054EE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 vaccine schedule of the Egypt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>,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 they 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>were subjected to detailed clinical history and full clinical exami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nation to exclude HBV infection, 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>those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 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>suffering from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 chronic illness, on long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 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  <w:lang w:val="en"/>
        </w:rPr>
        <w:t xml:space="preserve">term steroid treatment 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>or children of mothers infected with hepatitis B</w:t>
      </w:r>
      <w:r w:rsidR="006054EE" w:rsidRPr="006054EE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 during pregnancy </w:t>
      </w:r>
      <w:r w:rsidR="00D75CE6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>were excluded</w:t>
      </w:r>
      <w:r w:rsidR="00D75CE6" w:rsidRPr="006054EE">
        <w:rPr>
          <w:rFonts w:asciiTheme="majorBidi" w:eastAsiaTheme="minorEastAsia" w:hAnsiTheme="majorBidi" w:cstheme="majorBidi"/>
          <w:color w:val="auto"/>
          <w:sz w:val="20"/>
          <w:szCs w:val="20"/>
        </w:rPr>
        <w:t>.</w:t>
      </w:r>
    </w:p>
    <w:p w:rsidR="00047B2F" w:rsidRPr="006054EE" w:rsidRDefault="006054EE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We </w:t>
      </w:r>
      <w:r w:rsidR="00D57A2A"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evaluate</w:t>
      </w: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d</w:t>
      </w:r>
      <w:r w:rsidR="00D57A2A"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the long-term efficacy of infant hepatitis B vaccination</w:t>
      </w: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program </w:t>
      </w:r>
      <w:r w:rsidR="00D57A2A"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in preventing hepatitis B virus infection, and to assess its impact on the incidence of hepatitis B in children.</w:t>
      </w:r>
      <w:r w:rsidR="00047B2F" w:rsidRPr="00D57A2A">
        <w:rPr>
          <w:rFonts w:asciiTheme="majorBidi" w:eastAsiaTheme="minorEastAsia" w:hAnsiTheme="majorBidi" w:cstheme="majorBidi"/>
          <w:color w:val="auto"/>
          <w:sz w:val="20"/>
          <w:szCs w:val="20"/>
        </w:rPr>
        <w:t xml:space="preserve"> </w:t>
      </w:r>
    </w:p>
    <w:p w:rsidR="00D57A2A" w:rsidRPr="00D57A2A" w:rsidRDefault="00D57A2A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Serum samples from each participant were tested for the quantitative determination of anti-HBs antibody using enzyme linked </w:t>
      </w: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immunosorbent</w:t>
      </w:r>
      <w:proofErr w:type="spell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assay (ELISA) as well as qualitative ELISA testing for </w:t>
      </w: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HBsAg</w:t>
      </w:r>
      <w:proofErr w:type="spell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and </w:t>
      </w: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HbcAb</w:t>
      </w:r>
      <w:proofErr w:type="spell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.</w:t>
      </w:r>
    </w:p>
    <w:p w:rsidR="00D57A2A" w:rsidRPr="00D57A2A" w:rsidRDefault="00D57A2A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The study showed that the efficacy of hepatitis B vaccine, as evidenced by presence of protective levels of </w:t>
      </w: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HbsAb</w:t>
      </w:r>
      <w:proofErr w:type="spell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, is 88.5%.</w:t>
      </w:r>
    </w:p>
    <w:p w:rsidR="00047B2F" w:rsidRPr="00D57A2A" w:rsidRDefault="00D57A2A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HBsAg</w:t>
      </w:r>
      <w:proofErr w:type="spell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was not detected in any participant. The protective rate for the 2-6 years age groups was 100% while the protective rate for the 7–10 years age group was less. </w:t>
      </w:r>
    </w:p>
    <w:p w:rsidR="00D57A2A" w:rsidRPr="00D57A2A" w:rsidRDefault="006054EE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b/>
          <w:bCs/>
          <w:color w:val="auto"/>
          <w:sz w:val="20"/>
          <w:szCs w:val="20"/>
        </w:rPr>
        <w:t>Results</w:t>
      </w:r>
    </w:p>
    <w:p w:rsidR="00821FC5" w:rsidRDefault="00D57A2A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We concluded that hepatitis B vaccine efficacy is high in an </w:t>
      </w:r>
      <w:proofErr w:type="spellStart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immun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>ocomptent</w:t>
      </w:r>
      <w:proofErr w:type="spellEnd"/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population, and </w:t>
      </w:r>
      <w:proofErr w:type="gramStart"/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that </w:t>
      </w:r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a</w:t>
      </w:r>
      <w:proofErr w:type="gramEnd"/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booster 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vaccine </w:t>
      </w:r>
      <w:r w:rsidRPr="00D57A2A">
        <w:rPr>
          <w:rFonts w:asciiTheme="majorBidi" w:eastAsiaTheme="minorHAnsi" w:hAnsiTheme="majorBidi" w:cstheme="majorBidi"/>
          <w:color w:val="auto"/>
          <w:sz w:val="20"/>
          <w:szCs w:val="20"/>
        </w:rPr>
        <w:t>dose is not necessary before 6 years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of age.</w:t>
      </w:r>
    </w:p>
    <w:p w:rsidR="00EF7A12" w:rsidRPr="006054EE" w:rsidRDefault="006054EE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Gender difference was</w:t>
      </w:r>
      <w:r w:rsidR="00821FC5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</w:t>
      </w: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not found.</w:t>
      </w:r>
    </w:p>
    <w:p w:rsidR="00D75CE6" w:rsidRPr="006054EE" w:rsidRDefault="00D75CE6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b/>
          <w:bCs/>
          <w:color w:val="auto"/>
          <w:sz w:val="20"/>
          <w:szCs w:val="20"/>
        </w:rPr>
        <w:t>CONCLUSION</w:t>
      </w:r>
    </w:p>
    <w:p w:rsidR="00D75CE6" w:rsidRPr="006054EE" w:rsidRDefault="00D75CE6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   Hepatitis B vaccination program in Egyptian children appears to be initially effective in the first few years (2-6 years) following vaccination, as evidenced by high levels of anti-</w:t>
      </w:r>
      <w:r w:rsidR="006054EE"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>HBs antibody</w:t>
      </w: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, together with absence of serological evidence of infection or carrier states. </w:t>
      </w:r>
    </w:p>
    <w:p w:rsidR="00D75CE6" w:rsidRPr="00D75CE6" w:rsidRDefault="00D75CE6" w:rsidP="006054EE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  <w:r w:rsidRPr="006054EE">
        <w:rPr>
          <w:rFonts w:asciiTheme="majorBidi" w:eastAsiaTheme="minorHAnsi" w:hAnsiTheme="majorBidi" w:cstheme="majorBidi"/>
          <w:color w:val="auto"/>
          <w:sz w:val="20"/>
          <w:szCs w:val="20"/>
        </w:rPr>
        <w:t xml:space="preserve">     The decrease in antibody levels in older children (7-10 years), although expected, is not alarming, since exposure to infection would most likely trigger an anamnestic response that would lead to a spike in protective antibody levels. Moreover, the majority of older children retained a level of antibody which, although lower, was still in the protective range</w:t>
      </w:r>
      <w:r w:rsidRPr="00D75CE6">
        <w:rPr>
          <w:rFonts w:asciiTheme="majorBidi" w:eastAsiaTheme="minorHAnsi" w:hAnsiTheme="majorBidi" w:cstheme="majorBidi"/>
          <w:color w:val="auto"/>
          <w:sz w:val="20"/>
          <w:szCs w:val="20"/>
        </w:rPr>
        <w:t>.</w:t>
      </w:r>
      <w:bookmarkStart w:id="0" w:name="_GoBack"/>
      <w:bookmarkEnd w:id="0"/>
    </w:p>
    <w:p w:rsidR="00D75CE6" w:rsidRPr="00047B2F" w:rsidRDefault="00D75CE6" w:rsidP="00047B2F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color w:val="auto"/>
          <w:sz w:val="20"/>
          <w:szCs w:val="20"/>
        </w:rPr>
      </w:pPr>
    </w:p>
    <w:sectPr w:rsidR="00D75CE6" w:rsidRPr="00047B2F" w:rsidSect="009C7293">
      <w:pgSz w:w="12240" w:h="15840"/>
      <w:pgMar w:top="2016" w:right="1440" w:bottom="1440" w:left="288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2A"/>
    <w:rsid w:val="00047B2F"/>
    <w:rsid w:val="002B4D13"/>
    <w:rsid w:val="005427C9"/>
    <w:rsid w:val="00555711"/>
    <w:rsid w:val="006054EE"/>
    <w:rsid w:val="00744BDF"/>
    <w:rsid w:val="007F50FE"/>
    <w:rsid w:val="00821FC5"/>
    <w:rsid w:val="008D31DB"/>
    <w:rsid w:val="009C7293"/>
    <w:rsid w:val="00B061E1"/>
    <w:rsid w:val="00C2701C"/>
    <w:rsid w:val="00D57A2A"/>
    <w:rsid w:val="00D75CE6"/>
    <w:rsid w:val="00E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2A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5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2A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7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7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A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55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Essraa</dc:creator>
  <cp:lastModifiedBy>Essraa</cp:lastModifiedBy>
  <cp:revision>6</cp:revision>
  <dcterms:created xsi:type="dcterms:W3CDTF">2014-08-09T13:06:00Z</dcterms:created>
  <dcterms:modified xsi:type="dcterms:W3CDTF">2015-02-25T18:08:00Z</dcterms:modified>
</cp:coreProperties>
</file>