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4"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895"/>
        <w:gridCol w:w="7783"/>
      </w:tblGrid>
      <w:tr w:rsidR="000A3DF6" w:rsidRPr="000A3DF6" w:rsidTr="000A3DF6">
        <w:trPr>
          <w:trHeight w:val="782"/>
          <w:tblCellSpacing w:w="0" w:type="dxa"/>
        </w:trPr>
        <w:tc>
          <w:tcPr>
            <w:tcW w:w="0" w:type="auto"/>
            <w:shd w:val="clear" w:color="auto" w:fill="EEECE9"/>
            <w:hideMark/>
          </w:tcPr>
          <w:p w:rsidR="000A3DF6" w:rsidRPr="000A3DF6" w:rsidRDefault="000A3DF6" w:rsidP="000A3DF6">
            <w:pPr>
              <w:bidi w:val="0"/>
              <w:spacing w:after="0" w:line="235" w:lineRule="atLeast"/>
              <w:rPr>
                <w:rFonts w:ascii="Arial" w:eastAsia="Times New Roman" w:hAnsi="Arial" w:cs="Arial"/>
                <w:color w:val="000000"/>
                <w:sz w:val="17"/>
                <w:szCs w:val="17"/>
              </w:rPr>
            </w:pPr>
            <w:bookmarkStart w:id="0" w:name="_GoBack"/>
            <w:bookmarkEnd w:id="0"/>
            <w:r w:rsidRPr="000A3DF6">
              <w:rPr>
                <w:rFonts w:ascii="Arial" w:eastAsia="Times New Roman" w:hAnsi="Arial" w:cs="Arial"/>
                <w:b/>
                <w:bCs/>
                <w:color w:val="000000"/>
                <w:sz w:val="17"/>
                <w:szCs w:val="17"/>
              </w:rPr>
              <w:t>OP500</w:t>
            </w:r>
          </w:p>
        </w:tc>
        <w:tc>
          <w:tcPr>
            <w:tcW w:w="0" w:type="auto"/>
            <w:shd w:val="clear" w:color="auto" w:fill="EEECE9"/>
            <w:vAlign w:val="center"/>
            <w:hideMark/>
          </w:tcPr>
          <w:p w:rsidR="000A3DF6" w:rsidRPr="000A3DF6" w:rsidRDefault="000A3DF6" w:rsidP="000A3DF6">
            <w:pPr>
              <w:bidi w:val="0"/>
              <w:spacing w:after="0" w:line="235" w:lineRule="atLeast"/>
              <w:rPr>
                <w:rFonts w:ascii="Arial" w:eastAsia="Times New Roman" w:hAnsi="Arial" w:cs="Arial"/>
                <w:color w:val="000000"/>
                <w:sz w:val="17"/>
                <w:szCs w:val="17"/>
              </w:rPr>
            </w:pPr>
            <w:r w:rsidRPr="000A3DF6">
              <w:rPr>
                <w:rFonts w:ascii="Arial" w:eastAsia="Times New Roman" w:hAnsi="Arial" w:cs="Arial"/>
                <w:color w:val="75AE1D"/>
                <w:sz w:val="19"/>
                <w:szCs w:val="19"/>
                <w:bdr w:val="none" w:sz="0" w:space="0" w:color="auto" w:frame="1"/>
              </w:rPr>
              <w:t>Prognostic Value Of Different F-18 FDG PET/CT Quantitative Analytical Methodologies In Pediatric Hodgkin’s Lymphoma</w:t>
            </w:r>
          </w:p>
        </w:tc>
      </w:tr>
      <w:tr w:rsidR="000A3DF6" w:rsidRPr="000A3DF6" w:rsidTr="000A3DF6">
        <w:trPr>
          <w:trHeight w:val="1564"/>
          <w:tblCellSpacing w:w="0" w:type="dxa"/>
        </w:trPr>
        <w:tc>
          <w:tcPr>
            <w:tcW w:w="0" w:type="auto"/>
            <w:shd w:val="clear" w:color="auto" w:fill="EEECE9"/>
            <w:hideMark/>
          </w:tcPr>
          <w:p w:rsidR="000A3DF6" w:rsidRPr="000A3DF6" w:rsidRDefault="000A3DF6" w:rsidP="000A3DF6">
            <w:pPr>
              <w:bidi w:val="0"/>
              <w:spacing w:after="0" w:line="235" w:lineRule="atLeast"/>
              <w:rPr>
                <w:rFonts w:ascii="Arial" w:eastAsia="Times New Roman" w:hAnsi="Arial" w:cs="Arial"/>
                <w:color w:val="000000"/>
                <w:sz w:val="17"/>
                <w:szCs w:val="17"/>
              </w:rPr>
            </w:pPr>
            <w:r w:rsidRPr="000A3DF6">
              <w:rPr>
                <w:rFonts w:ascii="Arial" w:eastAsia="Times New Roman" w:hAnsi="Arial" w:cs="Arial"/>
                <w:color w:val="000000"/>
                <w:sz w:val="17"/>
                <w:szCs w:val="17"/>
              </w:rPr>
              <w:t>15:36</w:t>
            </w:r>
          </w:p>
        </w:tc>
        <w:tc>
          <w:tcPr>
            <w:tcW w:w="0" w:type="auto"/>
            <w:shd w:val="clear" w:color="auto" w:fill="EEECE9"/>
            <w:hideMark/>
          </w:tcPr>
          <w:p w:rsidR="000A3DF6" w:rsidRPr="000A3DF6" w:rsidRDefault="000A3DF6" w:rsidP="000A3DF6">
            <w:pPr>
              <w:bidi w:val="0"/>
              <w:spacing w:after="0" w:line="235" w:lineRule="atLeast"/>
              <w:rPr>
                <w:rFonts w:ascii="Arial" w:eastAsia="Times New Roman" w:hAnsi="Arial" w:cs="Arial"/>
                <w:color w:val="000000"/>
                <w:sz w:val="17"/>
                <w:szCs w:val="17"/>
              </w:rPr>
            </w:pPr>
            <w:r w:rsidRPr="000A3DF6">
              <w:rPr>
                <w:rFonts w:ascii="Arial" w:eastAsia="Times New Roman" w:hAnsi="Arial" w:cs="Arial"/>
                <w:color w:val="75AE1D"/>
                <w:sz w:val="19"/>
                <w:szCs w:val="19"/>
                <w:bdr w:val="none" w:sz="0" w:space="0" w:color="auto" w:frame="1"/>
              </w:rPr>
              <w:t>Authors </w:t>
            </w:r>
            <w:r w:rsidRPr="000A3DF6">
              <w:rPr>
                <w:rFonts w:ascii="Arial" w:eastAsia="Times New Roman" w:hAnsi="Arial" w:cs="Arial"/>
                <w:color w:val="000000"/>
                <w:sz w:val="17"/>
                <w:szCs w:val="17"/>
              </w:rPr>
              <w:br/>
            </w:r>
            <w:r w:rsidRPr="000A3DF6">
              <w:rPr>
                <w:rFonts w:ascii="Arial" w:eastAsia="Times New Roman" w:hAnsi="Arial" w:cs="Arial"/>
                <w:b/>
                <w:bCs/>
                <w:color w:val="000000"/>
                <w:sz w:val="17"/>
                <w:szCs w:val="17"/>
              </w:rPr>
              <w:t>A. A. Kandeel</w:t>
            </w:r>
            <w:r w:rsidRPr="000A3DF6">
              <w:rPr>
                <w:rFonts w:ascii="Arial" w:eastAsia="Times New Roman" w:hAnsi="Arial" w:cs="Arial"/>
                <w:color w:val="000000"/>
                <w:sz w:val="17"/>
                <w:szCs w:val="17"/>
                <w:vertAlign w:val="superscript"/>
              </w:rPr>
              <w:t>1</w:t>
            </w:r>
            <w:r w:rsidRPr="000A3DF6">
              <w:rPr>
                <w:rFonts w:ascii="Arial" w:eastAsia="Times New Roman" w:hAnsi="Arial" w:cs="Arial"/>
                <w:color w:val="000000"/>
                <w:sz w:val="17"/>
                <w:szCs w:val="17"/>
              </w:rPr>
              <w:t>, O. M. Serry</w:t>
            </w:r>
            <w:r w:rsidRPr="000A3DF6">
              <w:rPr>
                <w:rFonts w:ascii="Arial" w:eastAsia="Times New Roman" w:hAnsi="Arial" w:cs="Arial"/>
                <w:color w:val="000000"/>
                <w:sz w:val="17"/>
                <w:szCs w:val="17"/>
                <w:vertAlign w:val="superscript"/>
              </w:rPr>
              <w:t>1</w:t>
            </w:r>
            <w:r w:rsidRPr="000A3DF6">
              <w:rPr>
                <w:rFonts w:ascii="Arial" w:eastAsia="Times New Roman" w:hAnsi="Arial" w:cs="Arial"/>
                <w:color w:val="000000"/>
                <w:sz w:val="17"/>
                <w:szCs w:val="17"/>
              </w:rPr>
              <w:t>, M. A. Alhussieny</w:t>
            </w:r>
            <w:r w:rsidRPr="000A3DF6">
              <w:rPr>
                <w:rFonts w:ascii="Arial" w:eastAsia="Times New Roman" w:hAnsi="Arial" w:cs="Arial"/>
                <w:color w:val="000000"/>
                <w:sz w:val="17"/>
                <w:szCs w:val="17"/>
                <w:vertAlign w:val="superscript"/>
              </w:rPr>
              <w:t>1</w:t>
            </w:r>
            <w:r w:rsidRPr="000A3DF6">
              <w:rPr>
                <w:rFonts w:ascii="Arial" w:eastAsia="Times New Roman" w:hAnsi="Arial" w:cs="Arial"/>
                <w:color w:val="000000"/>
                <w:sz w:val="17"/>
                <w:szCs w:val="17"/>
              </w:rPr>
              <w:t>, W. O. Soliman</w:t>
            </w:r>
            <w:r w:rsidRPr="000A3DF6">
              <w:rPr>
                <w:rFonts w:ascii="Arial" w:eastAsia="Times New Roman" w:hAnsi="Arial" w:cs="Arial"/>
                <w:color w:val="000000"/>
                <w:sz w:val="17"/>
                <w:szCs w:val="17"/>
                <w:vertAlign w:val="superscript"/>
              </w:rPr>
              <w:t>2</w:t>
            </w:r>
            <w:r w:rsidRPr="000A3DF6">
              <w:rPr>
                <w:rFonts w:ascii="Arial" w:eastAsia="Times New Roman" w:hAnsi="Arial" w:cs="Arial"/>
                <w:color w:val="000000"/>
                <w:sz w:val="17"/>
                <w:szCs w:val="17"/>
              </w:rPr>
              <w:t>; </w:t>
            </w:r>
            <w:r w:rsidRPr="000A3DF6">
              <w:rPr>
                <w:rFonts w:ascii="Arial" w:eastAsia="Times New Roman" w:hAnsi="Arial" w:cs="Arial"/>
                <w:color w:val="000000"/>
                <w:sz w:val="17"/>
                <w:szCs w:val="17"/>
              </w:rPr>
              <w:br/>
            </w:r>
            <w:r w:rsidRPr="000A3DF6">
              <w:rPr>
                <w:rFonts w:ascii="Arial" w:eastAsia="Times New Roman" w:hAnsi="Arial" w:cs="Arial"/>
                <w:color w:val="000000"/>
                <w:sz w:val="17"/>
                <w:szCs w:val="17"/>
                <w:vertAlign w:val="superscript"/>
              </w:rPr>
              <w:t>1</w:t>
            </w:r>
            <w:r w:rsidRPr="000A3DF6">
              <w:rPr>
                <w:rFonts w:ascii="Arial" w:eastAsia="Times New Roman" w:hAnsi="Arial" w:cs="Arial"/>
                <w:color w:val="000000"/>
                <w:sz w:val="17"/>
                <w:szCs w:val="17"/>
              </w:rPr>
              <w:t xml:space="preserve">Kasr </w:t>
            </w:r>
            <w:proofErr w:type="spellStart"/>
            <w:r w:rsidRPr="000A3DF6">
              <w:rPr>
                <w:rFonts w:ascii="Arial" w:eastAsia="Times New Roman" w:hAnsi="Arial" w:cs="Arial"/>
                <w:color w:val="000000"/>
                <w:sz w:val="17"/>
                <w:szCs w:val="17"/>
              </w:rPr>
              <w:t>Alaini</w:t>
            </w:r>
            <w:proofErr w:type="spellEnd"/>
            <w:r w:rsidRPr="000A3DF6">
              <w:rPr>
                <w:rFonts w:ascii="Arial" w:eastAsia="Times New Roman" w:hAnsi="Arial" w:cs="Arial"/>
                <w:color w:val="000000"/>
                <w:sz w:val="17"/>
                <w:szCs w:val="17"/>
              </w:rPr>
              <w:t xml:space="preserve"> center of Oncology and Nuclear Medicine NEMROCK, Cairo, EGYPT, 257357 Children cancer Hospital, Cairo, EGYPT.</w:t>
            </w:r>
          </w:p>
        </w:tc>
      </w:tr>
      <w:tr w:rsidR="000A3DF6" w:rsidRPr="000A3DF6" w:rsidTr="000A3DF6">
        <w:trPr>
          <w:trHeight w:val="8723"/>
          <w:tblCellSpacing w:w="0" w:type="dxa"/>
        </w:trPr>
        <w:tc>
          <w:tcPr>
            <w:tcW w:w="0" w:type="auto"/>
            <w:gridSpan w:val="2"/>
            <w:shd w:val="clear" w:color="auto" w:fill="EEECE9"/>
            <w:hideMark/>
          </w:tcPr>
          <w:p w:rsidR="000A3DF6" w:rsidRPr="000A3DF6" w:rsidRDefault="000A3DF6" w:rsidP="000A3DF6">
            <w:pPr>
              <w:bidi w:val="0"/>
              <w:spacing w:after="0" w:line="235" w:lineRule="atLeast"/>
              <w:jc w:val="right"/>
              <w:rPr>
                <w:rFonts w:ascii="Arial" w:eastAsia="Times New Roman" w:hAnsi="Arial" w:cs="Arial"/>
                <w:color w:val="000000"/>
                <w:sz w:val="17"/>
                <w:szCs w:val="17"/>
              </w:rPr>
            </w:pPr>
            <w:r w:rsidRPr="000A3DF6">
              <w:rPr>
                <w:rFonts w:ascii="Arial" w:eastAsia="Times New Roman" w:hAnsi="Arial" w:cs="Arial"/>
                <w:b/>
                <w:bCs/>
                <w:color w:val="75AE1D"/>
                <w:sz w:val="17"/>
                <w:szCs w:val="17"/>
              </w:rPr>
              <w:t>hide abstract</w:t>
            </w:r>
          </w:p>
          <w:p w:rsidR="000A3DF6" w:rsidRPr="000A3DF6" w:rsidRDefault="000A3DF6" w:rsidP="000A3DF6">
            <w:pPr>
              <w:shd w:val="clear" w:color="auto" w:fill="EEECE9"/>
              <w:bidi w:val="0"/>
              <w:spacing w:before="100" w:beforeAutospacing="1" w:after="100" w:afterAutospacing="1" w:line="235" w:lineRule="atLeast"/>
              <w:rPr>
                <w:rFonts w:ascii="Arial" w:eastAsia="Times New Roman" w:hAnsi="Arial" w:cs="Arial"/>
                <w:color w:val="000000"/>
                <w:sz w:val="17"/>
                <w:szCs w:val="17"/>
              </w:rPr>
            </w:pPr>
            <w:r w:rsidRPr="000A3DF6">
              <w:rPr>
                <w:rFonts w:ascii="Arial" w:eastAsia="Times New Roman" w:hAnsi="Arial" w:cs="Arial"/>
                <w:color w:val="000000"/>
                <w:sz w:val="17"/>
                <w:szCs w:val="17"/>
              </w:rPr>
              <w:t xml:space="preserve">Introduction and aim of work: Assessment of the individualized SUVs, PET-derived total metabolic tumor volume (TMTV) and the product of both parameters, termed total lesion glycolysis (TLG) in both initial and interim PET if it carries a better PPV in early assessment of response to therapy in pediatric </w:t>
            </w:r>
            <w:proofErr w:type="spellStart"/>
            <w:r w:rsidRPr="000A3DF6">
              <w:rPr>
                <w:rFonts w:ascii="Arial" w:eastAsia="Times New Roman" w:hAnsi="Arial" w:cs="Arial"/>
                <w:color w:val="000000"/>
                <w:sz w:val="17"/>
                <w:szCs w:val="17"/>
              </w:rPr>
              <w:t>Hodgkin?s</w:t>
            </w:r>
            <w:proofErr w:type="spellEnd"/>
            <w:r w:rsidRPr="000A3DF6">
              <w:rPr>
                <w:rFonts w:ascii="Arial" w:eastAsia="Times New Roman" w:hAnsi="Arial" w:cs="Arial"/>
                <w:color w:val="000000"/>
                <w:sz w:val="17"/>
                <w:szCs w:val="17"/>
              </w:rPr>
              <w:t xml:space="preserve"> lymphoma (PHL) patients. Patients and Methods: Retrospective analysis of PET/CT results was performed on 60 patients (42 males and 18 females; mean age 8.7</w:t>
            </w:r>
            <w:proofErr w:type="gramStart"/>
            <w:r w:rsidRPr="000A3DF6">
              <w:rPr>
                <w:rFonts w:ascii="Arial" w:eastAsia="Times New Roman" w:hAnsi="Arial" w:cs="Arial"/>
                <w:color w:val="000000"/>
                <w:sz w:val="17"/>
                <w:szCs w:val="17"/>
              </w:rPr>
              <w:t>?4.2</w:t>
            </w:r>
            <w:proofErr w:type="gramEnd"/>
            <w:r w:rsidRPr="000A3DF6">
              <w:rPr>
                <w:rFonts w:ascii="Arial" w:eastAsia="Times New Roman" w:hAnsi="Arial" w:cs="Arial"/>
                <w:color w:val="000000"/>
                <w:sz w:val="17"/>
                <w:szCs w:val="17"/>
              </w:rPr>
              <w:t xml:space="preserve"> years). To assess the prognostic value of initial and interim 18F-FDG PET/CT, different semi-quantitative parameters such as </w:t>
            </w:r>
            <w:proofErr w:type="spellStart"/>
            <w:r w:rsidRPr="000A3DF6">
              <w:rPr>
                <w:rFonts w:ascii="Arial" w:eastAsia="Times New Roman" w:hAnsi="Arial" w:cs="Arial"/>
                <w:color w:val="000000"/>
                <w:sz w:val="17"/>
                <w:szCs w:val="17"/>
              </w:rPr>
              <w:t>SUVmax</w:t>
            </w:r>
            <w:proofErr w:type="spellEnd"/>
            <w:r w:rsidRPr="000A3DF6">
              <w:rPr>
                <w:rFonts w:ascii="Arial" w:eastAsia="Times New Roman" w:hAnsi="Arial" w:cs="Arial"/>
                <w:color w:val="000000"/>
                <w:sz w:val="17"/>
                <w:szCs w:val="17"/>
              </w:rPr>
              <w:t xml:space="preserve">, </w:t>
            </w:r>
            <w:proofErr w:type="spellStart"/>
            <w:r w:rsidRPr="000A3DF6">
              <w:rPr>
                <w:rFonts w:ascii="Arial" w:eastAsia="Times New Roman" w:hAnsi="Arial" w:cs="Arial"/>
                <w:color w:val="000000"/>
                <w:sz w:val="17"/>
                <w:szCs w:val="17"/>
              </w:rPr>
              <w:t>SUVmean</w:t>
            </w:r>
            <w:proofErr w:type="spellEnd"/>
            <w:r w:rsidRPr="000A3DF6">
              <w:rPr>
                <w:rFonts w:ascii="Arial" w:eastAsia="Times New Roman" w:hAnsi="Arial" w:cs="Arial"/>
                <w:color w:val="000000"/>
                <w:sz w:val="17"/>
                <w:szCs w:val="17"/>
              </w:rPr>
              <w:t xml:space="preserve">, Total lesion glycolysis (TLG) and TMTV of all lesions using </w:t>
            </w:r>
            <w:proofErr w:type="spellStart"/>
            <w:r w:rsidRPr="000A3DF6">
              <w:rPr>
                <w:rFonts w:ascii="Arial" w:eastAsia="Times New Roman" w:hAnsi="Arial" w:cs="Arial"/>
                <w:color w:val="000000"/>
                <w:sz w:val="17"/>
                <w:szCs w:val="17"/>
              </w:rPr>
              <w:t>SUVmax</w:t>
            </w:r>
            <w:proofErr w:type="spellEnd"/>
            <w:r w:rsidRPr="000A3DF6">
              <w:rPr>
                <w:rFonts w:ascii="Arial" w:eastAsia="Times New Roman" w:hAnsi="Arial" w:cs="Arial"/>
                <w:color w:val="000000"/>
                <w:sz w:val="17"/>
                <w:szCs w:val="17"/>
              </w:rPr>
              <w:t xml:space="preserve"> &amp; mean including SUV2.5 and 40% of </w:t>
            </w:r>
            <w:proofErr w:type="spellStart"/>
            <w:r w:rsidRPr="000A3DF6">
              <w:rPr>
                <w:rFonts w:ascii="Arial" w:eastAsia="Times New Roman" w:hAnsi="Arial" w:cs="Arial"/>
                <w:color w:val="000000"/>
                <w:sz w:val="17"/>
                <w:szCs w:val="17"/>
              </w:rPr>
              <w:t>SUVmax</w:t>
            </w:r>
            <w:proofErr w:type="spellEnd"/>
            <w:r w:rsidRPr="000A3DF6">
              <w:rPr>
                <w:rFonts w:ascii="Arial" w:eastAsia="Times New Roman" w:hAnsi="Arial" w:cs="Arial"/>
                <w:color w:val="000000"/>
                <w:sz w:val="17"/>
                <w:szCs w:val="17"/>
              </w:rPr>
              <w:t xml:space="preserve"> as cut-off values were calculated. Follow up for 24 months from initial treatment with calculation of Disease Specific Survival (DSS). According to the recommendations of Deauville criteria interim PET (PET2) results were identified into three groups; PET2-negative (PET2-ve), PET2-positive (PET2+ve), and PET2-minimal residual uptake (PET2-MRU), the cut-off between PET2+ve and PET2-MRU was 3-4 in the 5-point scale. Results: Out of the 60 interim-PET scans, 50 scans were considered as PET2-ve (83.3%), 5 scans as PET2+ve (8.3%) and 5 scans as PET2-MRU (8.3%). The risk of the disease and the visual scoring assessment were significantly correlated with patient's outcome (whether Negative or Residual/Relapse) (p &lt;0.0001). Different results were obtained; the most important were TLGmax2.5 (cut-off 2.5), TLGmean2.5 (cut-off 2) and TMTV2.5 (cut-off 0.75 </w:t>
            </w:r>
            <w:proofErr w:type="spellStart"/>
            <w:r w:rsidRPr="000A3DF6">
              <w:rPr>
                <w:rFonts w:ascii="Arial" w:eastAsia="Times New Roman" w:hAnsi="Arial" w:cs="Arial"/>
                <w:color w:val="000000"/>
                <w:sz w:val="17"/>
                <w:szCs w:val="17"/>
              </w:rPr>
              <w:t>ccm</w:t>
            </w:r>
            <w:proofErr w:type="spellEnd"/>
            <w:r w:rsidRPr="000A3DF6">
              <w:rPr>
                <w:rFonts w:ascii="Arial" w:eastAsia="Times New Roman" w:hAnsi="Arial" w:cs="Arial"/>
                <w:color w:val="000000"/>
                <w:sz w:val="17"/>
                <w:szCs w:val="17"/>
              </w:rPr>
              <w:t>) in interim PET showed the highest sensitivity, specificity, PPV and NPV (58.5%, 97.9%, 87.5% and 90.3% respectively for the 3 parameters). Conclusion: TLGmax2.5, TLGmean2.5 and TMTV2.5 are the most relevant parameters for predicting the outcome in patients with PHL, and can add a significant prognostic insight to interim PET response assessment. This may guide clinicians in their choice of therapeutic strategy.</w:t>
            </w:r>
          </w:p>
        </w:tc>
      </w:tr>
    </w:tbl>
    <w:p w:rsidR="00E3077B" w:rsidRPr="000A3DF6" w:rsidRDefault="000A3DF6">
      <w:pPr>
        <w:rPr>
          <w:rFonts w:hint="cs"/>
          <w:lang w:bidi="ar-EG"/>
        </w:rPr>
      </w:pPr>
    </w:p>
    <w:sectPr w:rsidR="00E3077B" w:rsidRPr="000A3DF6" w:rsidSect="006E675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F6"/>
    <w:rsid w:val="000A3DF6"/>
    <w:rsid w:val="003D73C2"/>
    <w:rsid w:val="006E6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CED79-747C-43BB-976C-04B44C03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3DF6"/>
    <w:rPr>
      <w:b/>
      <w:bCs/>
    </w:rPr>
  </w:style>
  <w:style w:type="character" w:customStyle="1" w:styleId="orange12">
    <w:name w:val="orange12"/>
    <w:basedOn w:val="DefaultParagraphFont"/>
    <w:rsid w:val="000A3DF6"/>
  </w:style>
  <w:style w:type="character" w:customStyle="1" w:styleId="apple-converted-space">
    <w:name w:val="apple-converted-space"/>
    <w:basedOn w:val="DefaultParagraphFont"/>
    <w:rsid w:val="000A3DF6"/>
  </w:style>
  <w:style w:type="character" w:customStyle="1" w:styleId="orange">
    <w:name w:val="orange"/>
    <w:basedOn w:val="DefaultParagraphFont"/>
    <w:rsid w:val="000A3DF6"/>
  </w:style>
  <w:style w:type="paragraph" w:styleId="NormalWeb">
    <w:name w:val="Normal (Web)"/>
    <w:basedOn w:val="Normal"/>
    <w:uiPriority w:val="99"/>
    <w:semiHidden/>
    <w:unhideWhenUsed/>
    <w:rsid w:val="000A3DF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29926">
      <w:bodyDiv w:val="1"/>
      <w:marLeft w:val="0"/>
      <w:marRight w:val="0"/>
      <w:marTop w:val="0"/>
      <w:marBottom w:val="0"/>
      <w:divBdr>
        <w:top w:val="none" w:sz="0" w:space="0" w:color="auto"/>
        <w:left w:val="none" w:sz="0" w:space="0" w:color="auto"/>
        <w:bottom w:val="none" w:sz="0" w:space="0" w:color="auto"/>
        <w:right w:val="none" w:sz="0" w:space="0" w:color="auto"/>
      </w:divBdr>
      <w:divsChild>
        <w:div w:id="1710258152">
          <w:marLeft w:val="0"/>
          <w:marRight w:val="0"/>
          <w:marTop w:val="150"/>
          <w:marBottom w:val="150"/>
          <w:divBdr>
            <w:top w:val="dotted" w:sz="6" w:space="3" w:color="999999"/>
            <w:left w:val="dotted" w:sz="6" w:space="3" w:color="999999"/>
            <w:bottom w:val="dotted" w:sz="6" w:space="3" w:color="999999"/>
            <w:right w:val="dotted" w:sz="6" w:space="3" w:color="9999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kandeel</dc:creator>
  <cp:keywords/>
  <dc:description/>
  <cp:lastModifiedBy>ahmed kandeel</cp:lastModifiedBy>
  <cp:revision>1</cp:revision>
  <dcterms:created xsi:type="dcterms:W3CDTF">2015-10-02T13:57:00Z</dcterms:created>
  <dcterms:modified xsi:type="dcterms:W3CDTF">2015-10-02T13:58:00Z</dcterms:modified>
</cp:coreProperties>
</file>