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4D" w:rsidRDefault="00F87210" w:rsidP="005E244D">
      <w:pPr>
        <w:framePr w:w="10472" w:hSpace="187" w:vSpace="187" w:wrap="notBeside" w:vAnchor="page" w:hAnchor="page" w:xAlign="center" w:y="1220"/>
        <w:jc w:val="center"/>
        <w:rPr>
          <w:sz w:val="48"/>
          <w:szCs w:val="48"/>
          <w:lang w:val="en-GB" w:bidi="ar-EG"/>
        </w:rPr>
      </w:pPr>
      <w:r w:rsidRPr="00E33E31">
        <w:rPr>
          <w:sz w:val="48"/>
          <w:szCs w:val="48"/>
          <w:lang w:val="en-GB" w:bidi="ar-EG"/>
        </w:rPr>
        <w:t xml:space="preserve">Dynamic Balance, Pain and Functional Performance in Cruciate Retaining, Posterior Stabilized and </w:t>
      </w:r>
    </w:p>
    <w:p w:rsidR="00F87210" w:rsidRPr="00E33E31" w:rsidRDefault="00F87210" w:rsidP="005E244D">
      <w:pPr>
        <w:framePr w:w="10472" w:hSpace="187" w:vSpace="187" w:wrap="notBeside" w:vAnchor="page" w:hAnchor="page" w:xAlign="center" w:y="1220"/>
        <w:jc w:val="center"/>
        <w:rPr>
          <w:sz w:val="48"/>
          <w:szCs w:val="48"/>
          <w:lang w:val="en-GB" w:bidi="ar-EG"/>
        </w:rPr>
      </w:pPr>
      <w:r w:rsidRPr="00E33E31">
        <w:rPr>
          <w:sz w:val="48"/>
          <w:szCs w:val="48"/>
          <w:lang w:val="en-GB" w:bidi="ar-EG"/>
        </w:rPr>
        <w:t>Uni-Compartmental Knee Arthroplasty</w:t>
      </w:r>
    </w:p>
    <w:p w:rsidR="005E244D" w:rsidRPr="00E33E31" w:rsidRDefault="005E244D" w:rsidP="005E244D">
      <w:pPr>
        <w:pStyle w:val="Authors"/>
        <w:framePr w:h="454" w:hRule="exact" w:wrap="notBeside" w:vAnchor="page" w:y="3029"/>
        <w:spacing w:after="0"/>
      </w:pPr>
      <w:r w:rsidRPr="00E33E31">
        <w:t>Ahmed R.</w:t>
      </w:r>
      <w:r>
        <w:t xml:space="preserve"> </w:t>
      </w:r>
      <w:r w:rsidRPr="00E33E31">
        <w:t>Z. Baghdadi, Amira A.</w:t>
      </w:r>
      <w:r>
        <w:t xml:space="preserve"> </w:t>
      </w:r>
      <w:r w:rsidRPr="00E33E31">
        <w:t>A. Abdallah</w:t>
      </w:r>
    </w:p>
    <w:p w:rsidR="00F54DA3" w:rsidRPr="00E33E31" w:rsidRDefault="00F54DA3">
      <w:pPr>
        <w:pStyle w:val="Text"/>
        <w:ind w:firstLine="0"/>
        <w:rPr>
          <w:sz w:val="18"/>
          <w:szCs w:val="18"/>
        </w:rPr>
      </w:pPr>
      <w:r w:rsidRPr="00E33E31">
        <w:rPr>
          <w:sz w:val="18"/>
          <w:szCs w:val="18"/>
        </w:rPr>
        <w:footnoteReference w:customMarkFollows="1" w:id="2"/>
        <w:sym w:font="Symbol" w:char="F020"/>
      </w:r>
    </w:p>
    <w:p w:rsidR="007257C6" w:rsidRDefault="00F54DA3" w:rsidP="00F87210">
      <w:pPr>
        <w:spacing w:before="20"/>
        <w:ind w:firstLine="204"/>
        <w:jc w:val="both"/>
        <w:rPr>
          <w:sz w:val="18"/>
          <w:szCs w:val="18"/>
          <w:lang w:val="en-GB" w:bidi="ar-EG"/>
        </w:rPr>
      </w:pPr>
      <w:r w:rsidRPr="00E33E31">
        <w:rPr>
          <w:b/>
          <w:bCs/>
          <w:i/>
          <w:iCs/>
        </w:rPr>
        <w:t>Abstract</w:t>
      </w:r>
      <w:r w:rsidRPr="00E33E31">
        <w:t>—</w:t>
      </w:r>
      <w:r w:rsidR="00684B21" w:rsidRPr="007257C6">
        <w:rPr>
          <w:bCs/>
          <w:sz w:val="18"/>
          <w:szCs w:val="18"/>
          <w:lang w:val="en-GB" w:bidi="ar-EG"/>
        </w:rPr>
        <w:t>Background:</w:t>
      </w:r>
      <w:r w:rsidR="00684B21" w:rsidRPr="007257C6">
        <w:rPr>
          <w:sz w:val="18"/>
          <w:szCs w:val="18"/>
          <w:lang w:val="en-GB" w:bidi="ar-EG"/>
        </w:rPr>
        <w:t xml:space="preserve"> </w:t>
      </w:r>
      <w:r w:rsidR="00684B21" w:rsidRPr="00E33E31">
        <w:rPr>
          <w:sz w:val="18"/>
          <w:szCs w:val="18"/>
          <w:lang w:val="en-GB" w:bidi="ar-EG"/>
        </w:rPr>
        <w:t xml:space="preserve">With the perceived pain and poor function experienced following knee arthroplasty, patients usually feel un-satisfied. Yet, a controversy still persists on the appropriate operative technique that doesn’t affect proprioception much. </w:t>
      </w:r>
    </w:p>
    <w:p w:rsidR="007257C6" w:rsidRPr="007257C6" w:rsidRDefault="00684B21" w:rsidP="007257C6">
      <w:pPr>
        <w:ind w:firstLine="204"/>
        <w:jc w:val="both"/>
        <w:rPr>
          <w:sz w:val="18"/>
          <w:szCs w:val="18"/>
          <w:lang w:val="en-GB" w:bidi="ar-EG"/>
        </w:rPr>
      </w:pPr>
      <w:r w:rsidRPr="007257C6">
        <w:rPr>
          <w:bCs/>
          <w:sz w:val="18"/>
          <w:szCs w:val="18"/>
          <w:lang w:val="en-GB" w:bidi="ar-EG"/>
        </w:rPr>
        <w:t>Purpose:</w:t>
      </w:r>
      <w:r w:rsidRPr="007257C6">
        <w:rPr>
          <w:sz w:val="18"/>
          <w:szCs w:val="18"/>
          <w:lang w:val="en-GB" w:bidi="ar-EG"/>
        </w:rPr>
        <w:t xml:space="preserve"> This study compared the effects of Cruciate Retaining (CR) and Posterior Stabilized (PS) total knee arthroplasty (TKA) and uni-compartmental knee arthroplasty (UKA) on dynamic balance, pain and functional performance following rehabilitation. </w:t>
      </w:r>
    </w:p>
    <w:p w:rsidR="007257C6" w:rsidRPr="007257C6" w:rsidRDefault="00684B21" w:rsidP="007257C6">
      <w:pPr>
        <w:ind w:firstLine="204"/>
        <w:jc w:val="both"/>
        <w:rPr>
          <w:sz w:val="18"/>
          <w:szCs w:val="18"/>
          <w:lang w:val="en-GB" w:bidi="ar-EG"/>
        </w:rPr>
      </w:pPr>
      <w:r w:rsidRPr="007257C6">
        <w:rPr>
          <w:bCs/>
          <w:sz w:val="18"/>
          <w:szCs w:val="18"/>
          <w:lang w:val="en-GB" w:bidi="ar-EG"/>
        </w:rPr>
        <w:t>Methods:</w:t>
      </w:r>
      <w:r w:rsidRPr="007257C6">
        <w:rPr>
          <w:sz w:val="18"/>
          <w:szCs w:val="18"/>
          <w:lang w:val="en-GB" w:bidi="ar-EG"/>
        </w:rPr>
        <w:t xml:space="preserve"> Fifteen patients with CRTKA (group I), fifteen with PSTKA (group II), fifteen with UKA (group III) and fifteen indicated for arthroplasty but weren’t operated on yet (group IV) participated in the study. The mean age was 54.53±3.44, 55.13±3.48, 52.8±1.93 and 55.33±2.32 years and BMI 35.7±3.03, 35.7±1.99, 35.6±1.88 and 35.73±1.03 kg/m</w:t>
      </w:r>
      <w:r w:rsidRPr="007257C6">
        <w:rPr>
          <w:sz w:val="18"/>
          <w:szCs w:val="18"/>
          <w:vertAlign w:val="superscript"/>
          <w:lang w:val="en-GB" w:bidi="ar-EG"/>
        </w:rPr>
        <w:t>2</w:t>
      </w:r>
      <w:r w:rsidRPr="007257C6">
        <w:rPr>
          <w:sz w:val="18"/>
          <w:szCs w:val="18"/>
          <w:lang w:val="en-GB" w:bidi="ar-EG"/>
        </w:rPr>
        <w:t xml:space="preserve"> for group I, II, III and IV respectively. The Berg Balance Scale (BBS), WOMAC pain subscale and Timed Up-and-Go (TUG) and Stair-Climbing (SC) tests were used for assessment. Assessments were conducted four and eight weeks pre- and post-operatively with the control group being assessed at the same time intervals. The post-operative rehabilitation involved hospitalization (1</w:t>
      </w:r>
      <w:r w:rsidRPr="007257C6">
        <w:rPr>
          <w:sz w:val="18"/>
          <w:szCs w:val="18"/>
          <w:vertAlign w:val="superscript"/>
          <w:lang w:val="en-GB" w:bidi="ar-EG"/>
        </w:rPr>
        <w:t>st</w:t>
      </w:r>
      <w:r w:rsidRPr="007257C6">
        <w:rPr>
          <w:sz w:val="18"/>
          <w:szCs w:val="18"/>
          <w:lang w:val="en-GB" w:bidi="ar-EG"/>
        </w:rPr>
        <w:t xml:space="preserve"> week), home-based (2</w:t>
      </w:r>
      <w:r w:rsidRPr="007257C6">
        <w:rPr>
          <w:sz w:val="18"/>
          <w:szCs w:val="18"/>
          <w:vertAlign w:val="superscript"/>
          <w:lang w:val="en-GB" w:bidi="ar-EG"/>
        </w:rPr>
        <w:t>nd</w:t>
      </w:r>
      <w:r w:rsidRPr="007257C6">
        <w:rPr>
          <w:sz w:val="18"/>
          <w:szCs w:val="18"/>
          <w:lang w:val="en-GB" w:bidi="ar-EG"/>
        </w:rPr>
        <w:t>-4</w:t>
      </w:r>
      <w:r w:rsidRPr="007257C6">
        <w:rPr>
          <w:sz w:val="18"/>
          <w:szCs w:val="18"/>
          <w:vertAlign w:val="superscript"/>
          <w:lang w:val="en-GB" w:bidi="ar-EG"/>
        </w:rPr>
        <w:t>th</w:t>
      </w:r>
      <w:r w:rsidRPr="007257C6">
        <w:rPr>
          <w:sz w:val="18"/>
          <w:szCs w:val="18"/>
          <w:lang w:val="en-GB" w:bidi="ar-EG"/>
        </w:rPr>
        <w:t xml:space="preserve"> weeks), and outpatient clinic (5</w:t>
      </w:r>
      <w:r w:rsidRPr="007257C6">
        <w:rPr>
          <w:sz w:val="18"/>
          <w:szCs w:val="18"/>
          <w:vertAlign w:val="superscript"/>
          <w:lang w:val="en-GB" w:bidi="ar-EG"/>
        </w:rPr>
        <w:t>th</w:t>
      </w:r>
      <w:r w:rsidRPr="007257C6">
        <w:rPr>
          <w:sz w:val="18"/>
          <w:szCs w:val="18"/>
          <w:lang w:val="en-GB" w:bidi="ar-EG"/>
        </w:rPr>
        <w:t>-8</w:t>
      </w:r>
      <w:r w:rsidRPr="007257C6">
        <w:rPr>
          <w:sz w:val="18"/>
          <w:szCs w:val="18"/>
          <w:vertAlign w:val="superscript"/>
          <w:lang w:val="en-GB" w:bidi="ar-EG"/>
        </w:rPr>
        <w:t>th</w:t>
      </w:r>
      <w:r w:rsidRPr="007257C6">
        <w:rPr>
          <w:sz w:val="18"/>
          <w:szCs w:val="18"/>
          <w:lang w:val="en-GB" w:bidi="ar-EG"/>
        </w:rPr>
        <w:t xml:space="preserve"> weeks) programs. </w:t>
      </w:r>
    </w:p>
    <w:p w:rsidR="007257C6" w:rsidRPr="007257C6" w:rsidRDefault="00684B21" w:rsidP="007257C6">
      <w:pPr>
        <w:ind w:firstLine="204"/>
        <w:jc w:val="both"/>
        <w:rPr>
          <w:sz w:val="18"/>
          <w:szCs w:val="18"/>
          <w:lang w:val="en-GB" w:bidi="ar-EG"/>
        </w:rPr>
      </w:pPr>
      <w:r w:rsidRPr="007257C6">
        <w:rPr>
          <w:bCs/>
          <w:sz w:val="18"/>
          <w:szCs w:val="18"/>
          <w:lang w:val="en-GB" w:bidi="ar-EG"/>
        </w:rPr>
        <w:t>Results:</w:t>
      </w:r>
      <w:r w:rsidRPr="007257C6">
        <w:rPr>
          <w:sz w:val="18"/>
          <w:szCs w:val="18"/>
          <w:lang w:val="en-GB" w:bidi="ar-EG"/>
        </w:rPr>
        <w:t xml:space="preserve"> The Mixed design MANOVA revealed that group III had significantly higher BBS scores, and lower pain scores and TUG and SC time than groups I and II four and eight weeks post-operatively. In addition, group I had significantly lower pain scores and SC time compared with group II eight weeks post-operatively. Moreover, the BBS scores increased significantly and the pain scores and TUG and SC time decreased significantly eight weeks post-operatively compared with the three other assessments in group I, II and III with the opposite being true four weeks post-operatively. </w:t>
      </w:r>
    </w:p>
    <w:p w:rsidR="00684B21" w:rsidRPr="00E33E31" w:rsidRDefault="00684B21" w:rsidP="007257C6">
      <w:pPr>
        <w:ind w:firstLine="204"/>
        <w:jc w:val="both"/>
        <w:rPr>
          <w:sz w:val="18"/>
          <w:szCs w:val="18"/>
          <w:lang w:val="en-GB" w:bidi="ar-EG"/>
        </w:rPr>
      </w:pPr>
      <w:r w:rsidRPr="007257C6">
        <w:rPr>
          <w:bCs/>
          <w:sz w:val="18"/>
          <w:szCs w:val="18"/>
          <w:lang w:val="en-GB" w:bidi="ar-EG"/>
        </w:rPr>
        <w:t xml:space="preserve">Interpretation/Conclusion: </w:t>
      </w:r>
      <w:r w:rsidRPr="007257C6">
        <w:rPr>
          <w:sz w:val="18"/>
          <w:szCs w:val="18"/>
          <w:lang w:val="en-GB" w:bidi="ar-EG"/>
        </w:rPr>
        <w:t>CRTKA is preferable to PSTKA with UKA being generally</w:t>
      </w:r>
      <w:r w:rsidRPr="00E33E31">
        <w:rPr>
          <w:sz w:val="18"/>
          <w:szCs w:val="18"/>
          <w:lang w:val="en-GB" w:bidi="ar-EG"/>
        </w:rPr>
        <w:t xml:space="preserve"> superior to TKA, possibly due to the preserved human proprioceptors in the un-excised compartmental articular surface.</w:t>
      </w:r>
    </w:p>
    <w:p w:rsidR="00F54DA3" w:rsidRPr="007257C6" w:rsidRDefault="00F54DA3" w:rsidP="007257C6"/>
    <w:p w:rsidR="00F54DA3" w:rsidRPr="00E33E31" w:rsidRDefault="00903455" w:rsidP="007257C6">
      <w:pPr>
        <w:pStyle w:val="IndexTerms"/>
        <w:rPr>
          <w:b w:val="0"/>
          <w:bCs w:val="0"/>
          <w:lang w:val="en-GB" w:bidi="ar-EG"/>
        </w:rPr>
      </w:pPr>
      <w:bookmarkStart w:id="0" w:name="PointTmp"/>
      <w:r w:rsidRPr="007257C6">
        <w:rPr>
          <w:i/>
          <w:iCs/>
          <w:sz w:val="20"/>
          <w:szCs w:val="20"/>
        </w:rPr>
        <w:t>Keywords</w:t>
      </w:r>
      <w:r w:rsidR="00F54DA3" w:rsidRPr="00E33E31">
        <w:rPr>
          <w:sz w:val="20"/>
          <w:szCs w:val="20"/>
        </w:rPr>
        <w:t>—</w:t>
      </w:r>
      <w:r w:rsidR="00684B21" w:rsidRPr="00E33E31">
        <w:rPr>
          <w:b w:val="0"/>
          <w:bCs w:val="0"/>
          <w:lang w:val="en-GB" w:bidi="ar-EG"/>
        </w:rPr>
        <w:t>Dynamic Balance, Functional Performance, Knee Arthroplasty, Pain.</w:t>
      </w:r>
    </w:p>
    <w:bookmarkEnd w:id="0"/>
    <w:p w:rsidR="00F87210" w:rsidRPr="00E33E31" w:rsidRDefault="00F87210" w:rsidP="00F87210">
      <w:pPr>
        <w:pStyle w:val="Text"/>
        <w:keepNext/>
        <w:framePr w:dropCap="drop" w:lines="2" w:wrap="auto" w:vAnchor="text" w:hAnchor="page" w:x="886" w:y="539"/>
        <w:spacing w:line="480" w:lineRule="exact"/>
        <w:ind w:firstLine="0"/>
        <w:rPr>
          <w:smallCaps/>
          <w:position w:val="-3"/>
          <w:sz w:val="56"/>
          <w:szCs w:val="56"/>
        </w:rPr>
      </w:pPr>
      <w:r w:rsidRPr="00E33E31">
        <w:rPr>
          <w:position w:val="-3"/>
          <w:sz w:val="56"/>
          <w:szCs w:val="56"/>
        </w:rPr>
        <w:t>O</w:t>
      </w:r>
    </w:p>
    <w:p w:rsidR="00F54DA3" w:rsidRPr="00E33E31" w:rsidRDefault="00F54DA3" w:rsidP="00F87210">
      <w:pPr>
        <w:pStyle w:val="Heading1"/>
      </w:pPr>
      <w:r w:rsidRPr="00E33E31">
        <w:t>I</w:t>
      </w:r>
      <w:r w:rsidRPr="00F87210">
        <w:rPr>
          <w:sz w:val="16"/>
        </w:rPr>
        <w:t>NTRODUCTION</w:t>
      </w:r>
    </w:p>
    <w:p w:rsidR="00C8525C" w:rsidRPr="00E33E31" w:rsidRDefault="00000371" w:rsidP="00F87210">
      <w:pPr>
        <w:pStyle w:val="CommentText"/>
        <w:spacing w:line="252" w:lineRule="auto"/>
        <w:jc w:val="both"/>
        <w:rPr>
          <w:bCs/>
        </w:rPr>
      </w:pPr>
      <w:r w:rsidRPr="00E33E31">
        <w:rPr>
          <w:smallCaps/>
        </w:rPr>
        <w:t>STEOARTHRITIS</w:t>
      </w:r>
      <w:r w:rsidR="00965BFE" w:rsidRPr="00E33E31">
        <w:rPr>
          <w:smallCaps/>
        </w:rPr>
        <w:t xml:space="preserve"> </w:t>
      </w:r>
      <w:r w:rsidR="00C91E36" w:rsidRPr="00E33E31">
        <w:t>(OA)</w:t>
      </w:r>
      <w:r w:rsidR="00965BFE" w:rsidRPr="00E33E31">
        <w:t xml:space="preserve"> </w:t>
      </w:r>
      <w:r w:rsidR="00F54DA3" w:rsidRPr="00E33E31">
        <w:t xml:space="preserve">is </w:t>
      </w:r>
      <w:r w:rsidRPr="00E33E31">
        <w:t xml:space="preserve">the most common form of </w:t>
      </w:r>
      <w:r w:rsidRPr="00F87210">
        <w:rPr>
          <w:b/>
        </w:rPr>
        <w:t>a</w:t>
      </w:r>
      <w:r w:rsidRPr="00E33E31">
        <w:t xml:space="preserve">rthritis that affects </w:t>
      </w:r>
      <w:r w:rsidRPr="00E33E31">
        <w:rPr>
          <w:bCs/>
        </w:rPr>
        <w:t xml:space="preserve">adults over the age of 45 </w:t>
      </w:r>
      <w:r w:rsidR="00D47A1B" w:rsidRPr="00E33E31">
        <w:rPr>
          <w:bCs/>
        </w:rPr>
        <w:t>[1]</w:t>
      </w:r>
      <w:r w:rsidRPr="00E33E31">
        <w:rPr>
          <w:bCs/>
        </w:rPr>
        <w:t xml:space="preserve">. It affects all weight-bearing joints with the knee joint being the most commonly affected </w:t>
      </w:r>
      <w:r w:rsidR="003C33D3" w:rsidRPr="00E33E31">
        <w:rPr>
          <w:bCs/>
        </w:rPr>
        <w:t>[2], [3]</w:t>
      </w:r>
      <w:r w:rsidRPr="00E33E31">
        <w:rPr>
          <w:bCs/>
        </w:rPr>
        <w:t>.</w:t>
      </w:r>
      <w:r w:rsidR="00AA6CE1">
        <w:rPr>
          <w:bCs/>
        </w:rPr>
        <w:t xml:space="preserve"> </w:t>
      </w:r>
      <w:r w:rsidR="00706C19" w:rsidRPr="00E33E31">
        <w:rPr>
          <w:bCs/>
        </w:rPr>
        <w:t>Knee joint affection</w:t>
      </w:r>
      <w:r w:rsidRPr="00E33E31">
        <w:rPr>
          <w:bCs/>
        </w:rPr>
        <w:t xml:space="preserve"> is associated with greater symptomatology than any of the other weight-bearing joints </w:t>
      </w:r>
      <w:r w:rsidR="003C33D3" w:rsidRPr="00E33E31">
        <w:rPr>
          <w:bCs/>
        </w:rPr>
        <w:t>[2]</w:t>
      </w:r>
      <w:r w:rsidR="00661643" w:rsidRPr="00E33E31">
        <w:rPr>
          <w:bCs/>
        </w:rPr>
        <w:t>, [4]</w:t>
      </w:r>
      <w:r w:rsidRPr="00E33E31">
        <w:rPr>
          <w:bCs/>
        </w:rPr>
        <w:t xml:space="preserve">. Knee OA represents a major cause of pain and dysfunction, imposing an economic burden to the society. </w:t>
      </w:r>
      <w:r w:rsidR="00661643" w:rsidRPr="00E33E31">
        <w:rPr>
          <w:bCs/>
        </w:rPr>
        <w:t xml:space="preserve">It was </w:t>
      </w:r>
      <w:r w:rsidR="00C8525C" w:rsidRPr="00E33E31">
        <w:rPr>
          <w:bCs/>
        </w:rPr>
        <w:t xml:space="preserve">estimated that </w:t>
      </w:r>
      <w:r w:rsidR="00661643" w:rsidRPr="00E33E31">
        <w:rPr>
          <w:bCs/>
        </w:rPr>
        <w:t>the total annual costs of OA is</w:t>
      </w:r>
      <w:r w:rsidR="00C8525C" w:rsidRPr="00E33E31">
        <w:rPr>
          <w:bCs/>
        </w:rPr>
        <w:t xml:space="preserve"> $89.1 billion. Furthermore, </w:t>
      </w:r>
      <w:r w:rsidR="00661643" w:rsidRPr="00E33E31">
        <w:rPr>
          <w:bCs/>
        </w:rPr>
        <w:t xml:space="preserve">it was </w:t>
      </w:r>
      <w:r w:rsidR="00C8525C" w:rsidRPr="00E33E31">
        <w:rPr>
          <w:bCs/>
        </w:rPr>
        <w:t>estimated that $3.4-13.2 billion of this sum is due to job-related OA solely, making job-related OA more costly than asthma and pulmonary diseases, and also more than renal and neurologic diseases combined</w:t>
      </w:r>
      <w:r w:rsidR="00661643" w:rsidRPr="00E33E31">
        <w:rPr>
          <w:bCs/>
        </w:rPr>
        <w:t xml:space="preserve"> [5].</w:t>
      </w:r>
    </w:p>
    <w:p w:rsidR="00000371" w:rsidRPr="00E33E31" w:rsidRDefault="00000371" w:rsidP="002C0C65">
      <w:pPr>
        <w:spacing w:line="252" w:lineRule="auto"/>
        <w:ind w:firstLine="202"/>
        <w:jc w:val="both"/>
        <w:rPr>
          <w:bCs/>
        </w:rPr>
      </w:pPr>
      <w:r w:rsidRPr="00E33E31">
        <w:rPr>
          <w:bCs/>
        </w:rPr>
        <w:t xml:space="preserve">To date, no cure for the disease exists. However, epidemiologic studies confirm that the onset and progression of the disease could be controlled through lifestyle modifications such as weight loss, increased physical activity and dietary changes </w:t>
      </w:r>
      <w:r w:rsidR="00BC3655" w:rsidRPr="00E33E31">
        <w:rPr>
          <w:bCs/>
        </w:rPr>
        <w:t>[6]</w:t>
      </w:r>
      <w:r w:rsidRPr="00E33E31">
        <w:rPr>
          <w:bCs/>
        </w:rPr>
        <w:t xml:space="preserve">. Yet, joint replacement serves as a choice of treatment that is usually used in late stages of the disease. Of 490 000 arthroplasties performed in 2002 in the United States, 320 000 were conducted on the knee and 170 000 on the hip, with an estimated 43% increase in the number of procedures performed in 10 years </w:t>
      </w:r>
      <w:r w:rsidR="00BC3655" w:rsidRPr="00E33E31">
        <w:rPr>
          <w:bCs/>
        </w:rPr>
        <w:t>[7]</w:t>
      </w:r>
      <w:r w:rsidR="00D70ED0">
        <w:rPr>
          <w:bCs/>
        </w:rPr>
        <w:t>.</w:t>
      </w:r>
    </w:p>
    <w:p w:rsidR="00000371" w:rsidRPr="00E33E31" w:rsidRDefault="00000371" w:rsidP="002C0C65">
      <w:pPr>
        <w:spacing w:line="252" w:lineRule="auto"/>
        <w:ind w:firstLine="202"/>
        <w:jc w:val="both"/>
        <w:rPr>
          <w:bCs/>
        </w:rPr>
      </w:pPr>
      <w:r w:rsidRPr="00E33E31">
        <w:rPr>
          <w:bCs/>
        </w:rPr>
        <w:t xml:space="preserve">Joint replacement could be either for the total knee (total knee arthroplasty, TKA) or one compartment (unicompartmental knee arthroplasty, UKA). KA was reported to be successfully able to improve proprioception </w:t>
      </w:r>
      <w:r w:rsidR="00BC3655" w:rsidRPr="00E33E31">
        <w:rPr>
          <w:bCs/>
        </w:rPr>
        <w:t>[8]</w:t>
      </w:r>
      <w:r w:rsidRPr="00E33E31">
        <w:rPr>
          <w:bCs/>
        </w:rPr>
        <w:t xml:space="preserve"> in particular TKA </w:t>
      </w:r>
      <w:r w:rsidR="00C14AD5" w:rsidRPr="00E33E31">
        <w:rPr>
          <w:bCs/>
        </w:rPr>
        <w:t xml:space="preserve">also </w:t>
      </w:r>
      <w:r w:rsidRPr="00E33E31">
        <w:rPr>
          <w:bCs/>
        </w:rPr>
        <w:t xml:space="preserve">reduces pain and provides a functional range of motion for patients with severe knee OA </w:t>
      </w:r>
      <w:r w:rsidR="00EE5246" w:rsidRPr="00E33E31">
        <w:rPr>
          <w:bCs/>
        </w:rPr>
        <w:t>[9], [10].</w:t>
      </w:r>
      <w:r w:rsidRPr="00E33E31">
        <w:rPr>
          <w:bCs/>
        </w:rPr>
        <w:t xml:space="preserve"> Yet, about 1</w:t>
      </w:r>
      <w:r w:rsidR="0066405B" w:rsidRPr="00E33E31">
        <w:rPr>
          <w:bCs/>
        </w:rPr>
        <w:t>5</w:t>
      </w:r>
      <w:r w:rsidRPr="00E33E31">
        <w:rPr>
          <w:bCs/>
        </w:rPr>
        <w:t xml:space="preserve">% of patients </w:t>
      </w:r>
      <w:r w:rsidR="0066405B" w:rsidRPr="00E33E31">
        <w:rPr>
          <w:bCs/>
        </w:rPr>
        <w:t xml:space="preserve">still report moderate to severe pain a year after TKA despite no evidence of radiographic abnormalities </w:t>
      </w:r>
      <w:r w:rsidR="00EE5246" w:rsidRPr="00E33E31">
        <w:rPr>
          <w:bCs/>
        </w:rPr>
        <w:t>[11]</w:t>
      </w:r>
      <w:r w:rsidR="0066405B" w:rsidRPr="00E33E31">
        <w:rPr>
          <w:bCs/>
        </w:rPr>
        <w:t xml:space="preserve">. </w:t>
      </w:r>
      <w:r w:rsidRPr="00E33E31">
        <w:rPr>
          <w:bCs/>
        </w:rPr>
        <w:t xml:space="preserve">The </w:t>
      </w:r>
      <w:r w:rsidR="00AD106F" w:rsidRPr="00E33E31">
        <w:rPr>
          <w:bCs/>
        </w:rPr>
        <w:t>dissatisfaction</w:t>
      </w:r>
      <w:r w:rsidRPr="00E33E31">
        <w:rPr>
          <w:bCs/>
        </w:rPr>
        <w:t xml:space="preserve"> is usually related to the continuing pain and poor function </w:t>
      </w:r>
      <w:r w:rsidR="00EE5246" w:rsidRPr="00E33E31">
        <w:rPr>
          <w:bCs/>
        </w:rPr>
        <w:t>[12], [13].</w:t>
      </w:r>
    </w:p>
    <w:p w:rsidR="004F5826" w:rsidRPr="00E33E31" w:rsidRDefault="00A73D2D" w:rsidP="00957DD4">
      <w:pPr>
        <w:spacing w:line="252" w:lineRule="auto"/>
        <w:ind w:firstLine="202"/>
        <w:jc w:val="both"/>
        <w:rPr>
          <w:bCs/>
        </w:rPr>
      </w:pPr>
      <w:r w:rsidRPr="00E33E31">
        <w:rPr>
          <w:bCs/>
        </w:rPr>
        <w:t xml:space="preserve">Despite the fact that TKA is being used with success, a controversy still persists on the appropriate technique of operation. Although both cruciate retaining (CR) and posterior stabilized (PS) TKA produced good to excellent scores in at least 90% of patients at long-term follow-ups </w:t>
      </w:r>
      <w:r w:rsidR="00EE5246" w:rsidRPr="00E33E31">
        <w:rPr>
          <w:bCs/>
        </w:rPr>
        <w:t>[14]</w:t>
      </w:r>
      <w:r w:rsidR="001D68BC" w:rsidRPr="00E33E31">
        <w:rPr>
          <w:bCs/>
        </w:rPr>
        <w:t>-</w:t>
      </w:r>
      <w:r w:rsidR="00EE5246" w:rsidRPr="00E33E31">
        <w:rPr>
          <w:bCs/>
        </w:rPr>
        <w:t>[1</w:t>
      </w:r>
      <w:r w:rsidR="001D68BC" w:rsidRPr="00E33E31">
        <w:rPr>
          <w:bCs/>
        </w:rPr>
        <w:t>7</w:t>
      </w:r>
      <w:r w:rsidR="00EE5246" w:rsidRPr="00E33E31">
        <w:rPr>
          <w:bCs/>
        </w:rPr>
        <w:t>]</w:t>
      </w:r>
      <w:r w:rsidR="001D68BC" w:rsidRPr="00E33E31">
        <w:rPr>
          <w:bCs/>
        </w:rPr>
        <w:t xml:space="preserve">, </w:t>
      </w:r>
      <w:r w:rsidRPr="00E33E31">
        <w:rPr>
          <w:bCs/>
        </w:rPr>
        <w:t xml:space="preserve">there is a debate whether to retain or resect the posterior cruciate ligament (PCL) in TKA. Those in favor of PCL retaining, as in CR TKA, believe that the PCL is beneficial for maintaining the antero-posterior stability of the joint post-operatively through preventing excessive posterior translation, producing normal knee kinematics especially femoral rollback, increasing joint range of motion, and improving joint proprioception and stair climbing ability </w:t>
      </w:r>
      <w:r w:rsidR="001D68BC" w:rsidRPr="00E33E31">
        <w:rPr>
          <w:bCs/>
        </w:rPr>
        <w:t xml:space="preserve">[18], [19]. </w:t>
      </w:r>
      <w:r w:rsidRPr="00E33E31">
        <w:rPr>
          <w:bCs/>
        </w:rPr>
        <w:t xml:space="preserve">On the other hand, those in favor of PCL resection, as in PS TKA, believe that PS TKA </w:t>
      </w:r>
      <w:r w:rsidR="0074510A" w:rsidRPr="00E33E31">
        <w:rPr>
          <w:bCs/>
        </w:rPr>
        <w:t xml:space="preserve">has the advantages of being a less technically demanding procedure [20]-[22], that is associated with increased ranges of motion [20], [23], [24]. Moreover, PS TKA </w:t>
      </w:r>
      <w:r w:rsidRPr="00E33E31">
        <w:rPr>
          <w:bCs/>
        </w:rPr>
        <w:t xml:space="preserve">is preferable to CR TKA in patients in whom the PCL is </w:t>
      </w:r>
      <w:r w:rsidRPr="00E33E31">
        <w:rPr>
          <w:bCs/>
        </w:rPr>
        <w:lastRenderedPageBreak/>
        <w:t xml:space="preserve">damaged or cannot be balanced, or patients under-going revision total knee arthroplasty </w:t>
      </w:r>
      <w:r w:rsidR="001D68BC" w:rsidRPr="00E33E31">
        <w:rPr>
          <w:bCs/>
        </w:rPr>
        <w:t>[2</w:t>
      </w:r>
      <w:r w:rsidR="00CD0EEA" w:rsidRPr="00E33E31">
        <w:rPr>
          <w:bCs/>
        </w:rPr>
        <w:t>5</w:t>
      </w:r>
      <w:r w:rsidR="001D68BC" w:rsidRPr="00E33E31">
        <w:rPr>
          <w:bCs/>
        </w:rPr>
        <w:t>].</w:t>
      </w:r>
      <w:r w:rsidR="00AA6CE1">
        <w:rPr>
          <w:bCs/>
        </w:rPr>
        <w:t xml:space="preserve"> </w:t>
      </w:r>
      <w:r w:rsidR="002D1D0C" w:rsidRPr="00E33E31">
        <w:rPr>
          <w:bCs/>
        </w:rPr>
        <w:t>In a systematic review conducted by [2</w:t>
      </w:r>
      <w:r w:rsidR="00CD0EEA" w:rsidRPr="00E33E31">
        <w:rPr>
          <w:bCs/>
        </w:rPr>
        <w:t>5</w:t>
      </w:r>
      <w:r w:rsidR="002D1D0C" w:rsidRPr="00E33E31">
        <w:rPr>
          <w:bCs/>
        </w:rPr>
        <w:t>], the researchers concluded that a</w:t>
      </w:r>
      <w:r w:rsidR="00467C42" w:rsidRPr="00E33E31">
        <w:rPr>
          <w:bCs/>
        </w:rPr>
        <w:t>lthough PCL retaining is a technically demanding procedure</w:t>
      </w:r>
      <w:r w:rsidR="002D1D0C" w:rsidRPr="00E33E31">
        <w:rPr>
          <w:bCs/>
        </w:rPr>
        <w:t>,</w:t>
      </w:r>
      <w:r w:rsidR="00467C42" w:rsidRPr="00E33E31">
        <w:rPr>
          <w:bCs/>
        </w:rPr>
        <w:t xml:space="preserve"> it </w:t>
      </w:r>
      <w:r w:rsidR="002D1D0C" w:rsidRPr="00E33E31">
        <w:rPr>
          <w:bCs/>
        </w:rPr>
        <w:t>is</w:t>
      </w:r>
      <w:r w:rsidR="00467C42" w:rsidRPr="00E33E31">
        <w:rPr>
          <w:bCs/>
        </w:rPr>
        <w:t xml:space="preserve"> associated with excellent long-term results considering placing the PCL under appropriate tension, during the procedure, such that the kinetic benefits of its retention can be gained and the adverse effects of its being excessively tight or lax can be avoided.</w:t>
      </w:r>
    </w:p>
    <w:p w:rsidR="00000371" w:rsidRPr="00E33E31" w:rsidRDefault="00000371" w:rsidP="00957DD4">
      <w:pPr>
        <w:spacing w:line="252" w:lineRule="auto"/>
        <w:ind w:firstLine="202"/>
        <w:jc w:val="both"/>
        <w:rPr>
          <w:bCs/>
        </w:rPr>
      </w:pPr>
      <w:r w:rsidRPr="00E33E31">
        <w:rPr>
          <w:bCs/>
        </w:rPr>
        <w:t>The controversy on wh</w:t>
      </w:r>
      <w:r w:rsidR="00F54CB9" w:rsidRPr="00E33E31">
        <w:rPr>
          <w:bCs/>
        </w:rPr>
        <w:t>ether or not to excise the PCL i</w:t>
      </w:r>
      <w:r w:rsidRPr="00E33E31">
        <w:rPr>
          <w:bCs/>
        </w:rPr>
        <w:t xml:space="preserve">s further associated with a controversy on the effect of TKA on proprioception. </w:t>
      </w:r>
      <w:r w:rsidR="001D68BC" w:rsidRPr="00E33E31">
        <w:rPr>
          <w:bCs/>
        </w:rPr>
        <w:t>Ref</w:t>
      </w:r>
      <w:r w:rsidR="00583069" w:rsidRPr="00E33E31">
        <w:rPr>
          <w:bCs/>
        </w:rPr>
        <w:t>erence</w:t>
      </w:r>
      <w:r w:rsidR="00103E6D" w:rsidRPr="00E33E31">
        <w:rPr>
          <w:bCs/>
        </w:rPr>
        <w:t>s</w:t>
      </w:r>
      <w:r w:rsidR="00583069" w:rsidRPr="00E33E31">
        <w:rPr>
          <w:bCs/>
        </w:rPr>
        <w:t xml:space="preserve"> [2</w:t>
      </w:r>
      <w:r w:rsidR="00CD0EEA" w:rsidRPr="00E33E31">
        <w:rPr>
          <w:bCs/>
        </w:rPr>
        <w:t>6</w:t>
      </w:r>
      <w:r w:rsidR="00583069" w:rsidRPr="00E33E31">
        <w:rPr>
          <w:bCs/>
        </w:rPr>
        <w:t>], [2</w:t>
      </w:r>
      <w:r w:rsidR="00CD0EEA" w:rsidRPr="00E33E31">
        <w:rPr>
          <w:bCs/>
        </w:rPr>
        <w:t>7</w:t>
      </w:r>
      <w:r w:rsidR="00583069" w:rsidRPr="00E33E31">
        <w:rPr>
          <w:bCs/>
        </w:rPr>
        <w:t xml:space="preserve">] </w:t>
      </w:r>
      <w:r w:rsidRPr="00E33E31">
        <w:rPr>
          <w:bCs/>
        </w:rPr>
        <w:t xml:space="preserve">reported significant improvement in proprioception 3-6 months post-operatively while </w:t>
      </w:r>
      <w:r w:rsidR="00583069" w:rsidRPr="00E33E31">
        <w:rPr>
          <w:bCs/>
        </w:rPr>
        <w:t>[2</w:t>
      </w:r>
      <w:r w:rsidR="00CD0EEA" w:rsidRPr="00E33E31">
        <w:rPr>
          <w:bCs/>
        </w:rPr>
        <w:t>8</w:t>
      </w:r>
      <w:r w:rsidR="00583069" w:rsidRPr="00E33E31">
        <w:rPr>
          <w:bCs/>
        </w:rPr>
        <w:t xml:space="preserve">] </w:t>
      </w:r>
      <w:r w:rsidRPr="00E33E31">
        <w:rPr>
          <w:bCs/>
        </w:rPr>
        <w:t xml:space="preserve">reported significant reduction. Meanwhile, </w:t>
      </w:r>
      <w:r w:rsidR="00583069" w:rsidRPr="00E33E31">
        <w:rPr>
          <w:bCs/>
        </w:rPr>
        <w:t>[2</w:t>
      </w:r>
      <w:r w:rsidR="00CD0EEA" w:rsidRPr="00E33E31">
        <w:rPr>
          <w:bCs/>
        </w:rPr>
        <w:t>9</w:t>
      </w:r>
      <w:r w:rsidR="00583069" w:rsidRPr="00E33E31">
        <w:rPr>
          <w:bCs/>
        </w:rPr>
        <w:t>], [</w:t>
      </w:r>
      <w:r w:rsidR="00CD0EEA" w:rsidRPr="00E33E31">
        <w:rPr>
          <w:bCs/>
        </w:rPr>
        <w:t>30</w:t>
      </w:r>
      <w:r w:rsidR="00583069" w:rsidRPr="00E33E31">
        <w:rPr>
          <w:bCs/>
        </w:rPr>
        <w:t xml:space="preserve">] </w:t>
      </w:r>
      <w:r w:rsidRPr="00E33E31">
        <w:rPr>
          <w:bCs/>
        </w:rPr>
        <w:t xml:space="preserve">reported insignificant differences between replaced and un-replaced knees. Both controversies seek attention as they may be related since many of the intra-articular structures, altered or removed during TKA, have long been reported to be important for knee proprioception </w:t>
      </w:r>
      <w:r w:rsidR="00221F5D" w:rsidRPr="00E33E31">
        <w:rPr>
          <w:bCs/>
        </w:rPr>
        <w:t>[</w:t>
      </w:r>
      <w:r w:rsidR="00CD0EEA" w:rsidRPr="00E33E31">
        <w:rPr>
          <w:bCs/>
        </w:rPr>
        <w:t>31</w:t>
      </w:r>
      <w:r w:rsidR="00221F5D" w:rsidRPr="00E33E31">
        <w:rPr>
          <w:bCs/>
        </w:rPr>
        <w:t>]-[</w:t>
      </w:r>
      <w:r w:rsidR="00CD0EEA" w:rsidRPr="00E33E31">
        <w:rPr>
          <w:bCs/>
        </w:rPr>
        <w:t>33</w:t>
      </w:r>
      <w:r w:rsidR="00D70ED0">
        <w:rPr>
          <w:bCs/>
        </w:rPr>
        <w:t>].</w:t>
      </w:r>
    </w:p>
    <w:p w:rsidR="00000371" w:rsidRPr="00E33E31" w:rsidRDefault="00000371" w:rsidP="00CD0EEA">
      <w:pPr>
        <w:spacing w:line="252" w:lineRule="auto"/>
        <w:ind w:firstLine="202"/>
        <w:jc w:val="both"/>
        <w:rPr>
          <w:bCs/>
        </w:rPr>
      </w:pPr>
      <w:r w:rsidRPr="00E33E31">
        <w:rPr>
          <w:bCs/>
        </w:rPr>
        <w:t xml:space="preserve">On another note, researchers continue to debate the relative merits of UKA and TKA. Since the anatomical structures are retained in UKA, especially the innervated cruciate ligaments, it is expected that the sensorimotor function (proprioception) would be superior after performing UKA </w:t>
      </w:r>
      <w:r w:rsidR="00EE5246" w:rsidRPr="00E33E31">
        <w:rPr>
          <w:bCs/>
        </w:rPr>
        <w:t>[8]</w:t>
      </w:r>
      <w:r w:rsidRPr="00E33E31">
        <w:rPr>
          <w:bCs/>
        </w:rPr>
        <w:t xml:space="preserve">. Yet, the findings reported by </w:t>
      </w:r>
      <w:r w:rsidR="00221F5D" w:rsidRPr="00E33E31">
        <w:rPr>
          <w:bCs/>
        </w:rPr>
        <w:t>[</w:t>
      </w:r>
      <w:r w:rsidR="00CD0EEA" w:rsidRPr="00E33E31">
        <w:rPr>
          <w:bCs/>
        </w:rPr>
        <w:t>34</w:t>
      </w:r>
      <w:r w:rsidR="00221F5D" w:rsidRPr="00E33E31">
        <w:rPr>
          <w:bCs/>
        </w:rPr>
        <w:t>]</w:t>
      </w:r>
      <w:r w:rsidRPr="00E33E31">
        <w:rPr>
          <w:bCs/>
        </w:rPr>
        <w:t xml:space="preserve"> revealed insignificant difference in proprioception following both UKA and TKA.</w:t>
      </w:r>
    </w:p>
    <w:p w:rsidR="00000371" w:rsidRPr="00E33E31" w:rsidRDefault="00000371" w:rsidP="00270B67">
      <w:pPr>
        <w:tabs>
          <w:tab w:val="left" w:pos="720"/>
        </w:tabs>
        <w:spacing w:line="252" w:lineRule="auto"/>
        <w:ind w:firstLine="202"/>
        <w:jc w:val="both"/>
        <w:rPr>
          <w:bCs/>
        </w:rPr>
      </w:pPr>
      <w:r w:rsidRPr="00E33E31">
        <w:rPr>
          <w:bCs/>
        </w:rPr>
        <w:t xml:space="preserve">Two methods of proprioception assessment were detected for describing functional deficits in arthritic knees; direct and indirect. The direct method involves joint-position sense </w:t>
      </w:r>
      <w:r w:rsidR="00475161" w:rsidRPr="00E33E31">
        <w:rPr>
          <w:bCs/>
        </w:rPr>
        <w:t>assessment</w:t>
      </w:r>
      <w:r w:rsidRPr="00E33E31">
        <w:rPr>
          <w:bCs/>
        </w:rPr>
        <w:t xml:space="preserve"> </w:t>
      </w:r>
      <w:r w:rsidR="00C56355" w:rsidRPr="00E33E31">
        <w:rPr>
          <w:bCs/>
        </w:rPr>
        <w:t>[3</w:t>
      </w:r>
      <w:r w:rsidR="00CD0EEA" w:rsidRPr="00E33E31">
        <w:rPr>
          <w:bCs/>
        </w:rPr>
        <w:t>5</w:t>
      </w:r>
      <w:r w:rsidR="00C56355" w:rsidRPr="00E33E31">
        <w:rPr>
          <w:bCs/>
        </w:rPr>
        <w:t>], [3</w:t>
      </w:r>
      <w:r w:rsidR="00CD0EEA" w:rsidRPr="00E33E31">
        <w:rPr>
          <w:bCs/>
        </w:rPr>
        <w:t>6</w:t>
      </w:r>
      <w:r w:rsidR="00C56355" w:rsidRPr="00E33E31">
        <w:rPr>
          <w:bCs/>
        </w:rPr>
        <w:t xml:space="preserve">], </w:t>
      </w:r>
      <w:r w:rsidRPr="00E33E31">
        <w:rPr>
          <w:bCs/>
        </w:rPr>
        <w:t>while the indirect involves balance assessment especially dynamic balance assessment</w:t>
      </w:r>
      <w:r w:rsidR="00D86D3A" w:rsidRPr="00E33E31">
        <w:rPr>
          <w:bCs/>
        </w:rPr>
        <w:t xml:space="preserve"> [3</w:t>
      </w:r>
      <w:r w:rsidR="00CD0EEA" w:rsidRPr="00E33E31">
        <w:rPr>
          <w:bCs/>
        </w:rPr>
        <w:t>7</w:t>
      </w:r>
      <w:r w:rsidR="00D86D3A" w:rsidRPr="00E33E31">
        <w:rPr>
          <w:bCs/>
        </w:rPr>
        <w:t>], [3</w:t>
      </w:r>
      <w:r w:rsidR="00CD0EEA" w:rsidRPr="00E33E31">
        <w:rPr>
          <w:bCs/>
        </w:rPr>
        <w:t>8</w:t>
      </w:r>
      <w:r w:rsidR="00D86D3A" w:rsidRPr="00E33E31">
        <w:rPr>
          <w:bCs/>
        </w:rPr>
        <w:t>].</w:t>
      </w:r>
      <w:r w:rsidRPr="00E33E31">
        <w:rPr>
          <w:bCs/>
        </w:rPr>
        <w:t xml:space="preserve"> Most of the reviewed literature assessed the joint-position sense </w:t>
      </w:r>
      <w:r w:rsidR="005F6B2D" w:rsidRPr="00E33E31">
        <w:rPr>
          <w:bCs/>
        </w:rPr>
        <w:t>in KA</w:t>
      </w:r>
      <w:r w:rsidR="00B07DAB" w:rsidRPr="00E33E31">
        <w:rPr>
          <w:bCs/>
        </w:rPr>
        <w:t xml:space="preserve"> </w:t>
      </w:r>
      <w:r w:rsidR="001E6D6F" w:rsidRPr="00E33E31">
        <w:rPr>
          <w:bCs/>
        </w:rPr>
        <w:t>[</w:t>
      </w:r>
      <w:r w:rsidR="00CD0EEA" w:rsidRPr="00E33E31">
        <w:rPr>
          <w:bCs/>
        </w:rPr>
        <w:t>30</w:t>
      </w:r>
      <w:r w:rsidR="001E6D6F" w:rsidRPr="00E33E31">
        <w:rPr>
          <w:bCs/>
        </w:rPr>
        <w:t>], [</w:t>
      </w:r>
      <w:r w:rsidR="00CD0EEA" w:rsidRPr="00E33E31">
        <w:rPr>
          <w:bCs/>
        </w:rPr>
        <w:t>3</w:t>
      </w:r>
      <w:r w:rsidR="00270B67">
        <w:rPr>
          <w:bCs/>
        </w:rPr>
        <w:t>4</w:t>
      </w:r>
      <w:r w:rsidR="001E6D6F" w:rsidRPr="00E33E31">
        <w:rPr>
          <w:bCs/>
        </w:rPr>
        <w:t xml:space="preserve">], </w:t>
      </w:r>
      <w:r w:rsidR="00B07DAB" w:rsidRPr="00E33E31">
        <w:rPr>
          <w:bCs/>
        </w:rPr>
        <w:t>[3</w:t>
      </w:r>
      <w:r w:rsidR="00CD0EEA" w:rsidRPr="00E33E31">
        <w:rPr>
          <w:bCs/>
        </w:rPr>
        <w:t>9</w:t>
      </w:r>
      <w:r w:rsidR="00B07DAB" w:rsidRPr="00E33E31">
        <w:rPr>
          <w:bCs/>
        </w:rPr>
        <w:t>]</w:t>
      </w:r>
      <w:r w:rsidR="001E6D6F" w:rsidRPr="00E33E31">
        <w:rPr>
          <w:bCs/>
        </w:rPr>
        <w:t>-[</w:t>
      </w:r>
      <w:r w:rsidR="00CD0EEA" w:rsidRPr="00E33E31">
        <w:rPr>
          <w:bCs/>
        </w:rPr>
        <w:t>4</w:t>
      </w:r>
      <w:r w:rsidR="00270B67">
        <w:rPr>
          <w:bCs/>
        </w:rPr>
        <w:t>4</w:t>
      </w:r>
      <w:r w:rsidR="001E6D6F" w:rsidRPr="00E33E31">
        <w:rPr>
          <w:bCs/>
        </w:rPr>
        <w:t xml:space="preserve">], </w:t>
      </w:r>
      <w:r w:rsidRPr="00E33E31">
        <w:rPr>
          <w:bCs/>
        </w:rPr>
        <w:t xml:space="preserve">with few being conducted on assessing balance </w:t>
      </w:r>
      <w:r w:rsidR="00BC3655" w:rsidRPr="00E33E31">
        <w:rPr>
          <w:bCs/>
        </w:rPr>
        <w:t>[8]</w:t>
      </w:r>
      <w:r w:rsidR="00121FBB" w:rsidRPr="00E33E31">
        <w:rPr>
          <w:bCs/>
        </w:rPr>
        <w:t>, [4</w:t>
      </w:r>
      <w:r w:rsidR="00CD0EEA" w:rsidRPr="00E33E31">
        <w:rPr>
          <w:bCs/>
        </w:rPr>
        <w:t>5</w:t>
      </w:r>
      <w:r w:rsidR="00121FBB" w:rsidRPr="00E33E31">
        <w:rPr>
          <w:bCs/>
        </w:rPr>
        <w:t>]</w:t>
      </w:r>
      <w:r w:rsidRPr="00E33E31">
        <w:rPr>
          <w:bCs/>
        </w:rPr>
        <w:t xml:space="preserve">. </w:t>
      </w:r>
      <w:r w:rsidR="00906B9C" w:rsidRPr="00E33E31">
        <w:rPr>
          <w:bCs/>
        </w:rPr>
        <w:t xml:space="preserve">Even for these few studies that examined balance, </w:t>
      </w:r>
      <w:r w:rsidR="00E10E7D" w:rsidRPr="00E33E31">
        <w:rPr>
          <w:bCs/>
        </w:rPr>
        <w:t xml:space="preserve">it was noticed that different </w:t>
      </w:r>
      <w:r w:rsidR="00906B9C" w:rsidRPr="00E33E31">
        <w:rPr>
          <w:bCs/>
        </w:rPr>
        <w:t>g</w:t>
      </w:r>
      <w:r w:rsidR="00F7512D" w:rsidRPr="00E33E31">
        <w:rPr>
          <w:bCs/>
        </w:rPr>
        <w:t xml:space="preserve">roups </w:t>
      </w:r>
      <w:r w:rsidR="00E10E7D" w:rsidRPr="00E33E31">
        <w:rPr>
          <w:bCs/>
        </w:rPr>
        <w:t xml:space="preserve">were tested; </w:t>
      </w:r>
      <w:r w:rsidR="00F7512D" w:rsidRPr="00E33E31">
        <w:rPr>
          <w:bCs/>
        </w:rPr>
        <w:t xml:space="preserve">either </w:t>
      </w:r>
      <w:r w:rsidR="00D13BC6" w:rsidRPr="00E33E31">
        <w:rPr>
          <w:bCs/>
        </w:rPr>
        <w:t>examining</w:t>
      </w:r>
      <w:r w:rsidR="00121FBB" w:rsidRPr="00E33E31">
        <w:rPr>
          <w:bCs/>
        </w:rPr>
        <w:t xml:space="preserve"> </w:t>
      </w:r>
      <w:r w:rsidR="00906B9C" w:rsidRPr="00E33E31">
        <w:rPr>
          <w:bCs/>
        </w:rPr>
        <w:t xml:space="preserve">CRTKA and PSTKA </w:t>
      </w:r>
      <w:r w:rsidR="00121FBB" w:rsidRPr="00E33E31">
        <w:rPr>
          <w:bCs/>
        </w:rPr>
        <w:t>[4</w:t>
      </w:r>
      <w:r w:rsidR="00CD0EEA" w:rsidRPr="00E33E31">
        <w:rPr>
          <w:bCs/>
        </w:rPr>
        <w:t>5</w:t>
      </w:r>
      <w:r w:rsidR="00121FBB" w:rsidRPr="00E33E31">
        <w:rPr>
          <w:bCs/>
        </w:rPr>
        <w:t xml:space="preserve">], </w:t>
      </w:r>
      <w:r w:rsidR="00906B9C" w:rsidRPr="00E33E31">
        <w:rPr>
          <w:bCs/>
        </w:rPr>
        <w:t xml:space="preserve">or </w:t>
      </w:r>
      <w:r w:rsidR="00D13BC6" w:rsidRPr="00E33E31">
        <w:rPr>
          <w:bCs/>
        </w:rPr>
        <w:t>examining</w:t>
      </w:r>
      <w:r w:rsidR="002518C7" w:rsidRPr="00E33E31">
        <w:rPr>
          <w:bCs/>
        </w:rPr>
        <w:t xml:space="preserve"> </w:t>
      </w:r>
      <w:r w:rsidR="00E10E7D" w:rsidRPr="00E33E31">
        <w:rPr>
          <w:bCs/>
        </w:rPr>
        <w:t>CRT</w:t>
      </w:r>
      <w:r w:rsidR="00F7512D" w:rsidRPr="00E33E31">
        <w:rPr>
          <w:bCs/>
        </w:rPr>
        <w:t>KA and UKA</w:t>
      </w:r>
      <w:r w:rsidR="00BC3655" w:rsidRPr="00E33E31">
        <w:rPr>
          <w:bCs/>
        </w:rPr>
        <w:t xml:space="preserve"> [8]</w:t>
      </w:r>
      <w:r w:rsidR="00F7512D" w:rsidRPr="00E33E31">
        <w:rPr>
          <w:bCs/>
        </w:rPr>
        <w:t xml:space="preserve">. </w:t>
      </w:r>
      <w:r w:rsidR="00F822AE" w:rsidRPr="00E33E31">
        <w:t xml:space="preserve">It is suggested that </w:t>
      </w:r>
      <w:r w:rsidRPr="00E33E31">
        <w:rPr>
          <w:bCs/>
        </w:rPr>
        <w:t xml:space="preserve">the differences among the conducted studies in the methods of proprioception assessment </w:t>
      </w:r>
      <w:r w:rsidR="00E10E7D" w:rsidRPr="00E33E31">
        <w:rPr>
          <w:bCs/>
        </w:rPr>
        <w:t xml:space="preserve">and/or the examined groups </w:t>
      </w:r>
      <w:r w:rsidRPr="00E33E31">
        <w:rPr>
          <w:bCs/>
        </w:rPr>
        <w:t xml:space="preserve">might be responsible for the differences in findings reported for the effect of </w:t>
      </w:r>
      <w:r w:rsidR="00A31E54" w:rsidRPr="00E33E31">
        <w:rPr>
          <w:bCs/>
        </w:rPr>
        <w:t>KA</w:t>
      </w:r>
      <w:r w:rsidRPr="00E33E31">
        <w:rPr>
          <w:bCs/>
        </w:rPr>
        <w:t>, whether total or unicompartmental, on proprioception.</w:t>
      </w:r>
    </w:p>
    <w:p w:rsidR="00E10E7D" w:rsidRDefault="00E10E7D" w:rsidP="00957DD4">
      <w:pPr>
        <w:pStyle w:val="CommentText"/>
        <w:spacing w:line="252" w:lineRule="auto"/>
        <w:ind w:firstLine="202"/>
        <w:jc w:val="both"/>
        <w:rPr>
          <w:bCs/>
        </w:rPr>
      </w:pPr>
      <w:r w:rsidRPr="00E33E31">
        <w:rPr>
          <w:bCs/>
        </w:rPr>
        <w:t>To the best of our knowledge, no study compared among the three operative techniques for d</w:t>
      </w:r>
      <w:r w:rsidRPr="00E33E31">
        <w:t xml:space="preserve">ynamic balance. </w:t>
      </w:r>
      <w:r w:rsidRPr="00E33E31">
        <w:rPr>
          <w:bCs/>
        </w:rPr>
        <w:t>Accordingly, the main purpose of the current study was to compare among the UKA, CRTKA and PSTKA for dynamic balance, functional performance, and pain following a rehabilitation period. It is suggested that any improvement in either of proprioception or either clinical outcome may be reflected in improvement in the other since they are related</w:t>
      </w:r>
      <w:r w:rsidR="00444C1B" w:rsidRPr="00E33E31">
        <w:rPr>
          <w:bCs/>
        </w:rPr>
        <w:t xml:space="preserve"> [13],</w:t>
      </w:r>
      <w:r w:rsidRPr="00E33E31">
        <w:rPr>
          <w:bCs/>
        </w:rPr>
        <w:t xml:space="preserve"> </w:t>
      </w:r>
      <w:r w:rsidR="00121FBB" w:rsidRPr="00E33E31">
        <w:rPr>
          <w:bCs/>
        </w:rPr>
        <w:t>[4</w:t>
      </w:r>
      <w:r w:rsidR="00CD0EEA" w:rsidRPr="00E33E31">
        <w:rPr>
          <w:bCs/>
        </w:rPr>
        <w:t>6</w:t>
      </w:r>
      <w:r w:rsidR="00121FBB" w:rsidRPr="00E33E31">
        <w:rPr>
          <w:bCs/>
        </w:rPr>
        <w:t>]-[4</w:t>
      </w:r>
      <w:r w:rsidR="00CD0EEA" w:rsidRPr="00E33E31">
        <w:rPr>
          <w:bCs/>
        </w:rPr>
        <w:t>8</w:t>
      </w:r>
      <w:r w:rsidR="00121FBB" w:rsidRPr="00E33E31">
        <w:rPr>
          <w:bCs/>
        </w:rPr>
        <w:t>]</w:t>
      </w:r>
      <w:r w:rsidRPr="00E33E31">
        <w:rPr>
          <w:bCs/>
        </w:rPr>
        <w:t>. In this way, the dissatisfaction perceived by patients who have KA may be resolved.</w:t>
      </w:r>
    </w:p>
    <w:p w:rsidR="00266994" w:rsidRDefault="00266994" w:rsidP="00957DD4">
      <w:pPr>
        <w:pStyle w:val="CommentText"/>
        <w:spacing w:line="252" w:lineRule="auto"/>
        <w:ind w:firstLine="202"/>
        <w:jc w:val="both"/>
        <w:rPr>
          <w:bCs/>
        </w:rPr>
      </w:pPr>
    </w:p>
    <w:p w:rsidR="00266994" w:rsidRDefault="00266994" w:rsidP="00957DD4">
      <w:pPr>
        <w:pStyle w:val="CommentText"/>
        <w:spacing w:line="252" w:lineRule="auto"/>
        <w:ind w:firstLine="202"/>
        <w:jc w:val="both"/>
        <w:rPr>
          <w:bCs/>
        </w:rPr>
      </w:pPr>
    </w:p>
    <w:p w:rsidR="00266994" w:rsidRDefault="00266994" w:rsidP="00957DD4">
      <w:pPr>
        <w:pStyle w:val="CommentText"/>
        <w:spacing w:line="252" w:lineRule="auto"/>
        <w:ind w:firstLine="202"/>
        <w:jc w:val="both"/>
        <w:rPr>
          <w:bCs/>
        </w:rPr>
      </w:pPr>
    </w:p>
    <w:p w:rsidR="00266994" w:rsidRDefault="00266994" w:rsidP="00957DD4">
      <w:pPr>
        <w:pStyle w:val="CommentText"/>
        <w:spacing w:line="252" w:lineRule="auto"/>
        <w:ind w:firstLine="202"/>
        <w:jc w:val="both"/>
        <w:rPr>
          <w:bCs/>
        </w:rPr>
      </w:pPr>
    </w:p>
    <w:p w:rsidR="00266994" w:rsidRPr="00E33E31" w:rsidRDefault="00266994" w:rsidP="00957DD4">
      <w:pPr>
        <w:pStyle w:val="CommentText"/>
        <w:spacing w:line="252" w:lineRule="auto"/>
        <w:ind w:firstLine="202"/>
        <w:jc w:val="both"/>
        <w:rPr>
          <w:bCs/>
        </w:rPr>
      </w:pPr>
    </w:p>
    <w:p w:rsidR="00F54DA3" w:rsidRPr="00E33E31" w:rsidRDefault="00F87210" w:rsidP="00F87210">
      <w:pPr>
        <w:pStyle w:val="Style2"/>
      </w:pPr>
      <w:r>
        <w:lastRenderedPageBreak/>
        <w:t xml:space="preserve"> </w:t>
      </w:r>
      <w:r w:rsidR="00852837" w:rsidRPr="00E33E31">
        <w:t>Methods</w:t>
      </w:r>
    </w:p>
    <w:p w:rsidR="00F54DA3" w:rsidRPr="00E33E31" w:rsidRDefault="00852837" w:rsidP="00F87210">
      <w:pPr>
        <w:pStyle w:val="Style1"/>
      </w:pPr>
      <w:r w:rsidRPr="00E33E31">
        <w:t>Participants</w:t>
      </w:r>
    </w:p>
    <w:p w:rsidR="00852837" w:rsidRPr="00E33E31" w:rsidRDefault="00852837" w:rsidP="00F87210">
      <w:pPr>
        <w:spacing w:line="252" w:lineRule="auto"/>
        <w:ind w:firstLine="204"/>
        <w:jc w:val="both"/>
      </w:pPr>
      <w:r w:rsidRPr="00E33E31">
        <w:t>Forty-five patients with unilateral KA participated in the study. They were divided into three groups of 15 patients each. Group I included those who had CR</w:t>
      </w:r>
      <w:r w:rsidR="00345EA6" w:rsidRPr="00E33E31">
        <w:t>T</w:t>
      </w:r>
      <w:r w:rsidRPr="00E33E31">
        <w:t>KA, group II included those who had PS</w:t>
      </w:r>
      <w:r w:rsidR="00345EA6" w:rsidRPr="00E33E31">
        <w:t>T</w:t>
      </w:r>
      <w:r w:rsidRPr="00E33E31">
        <w:t>KA, and group III included those wh</w:t>
      </w:r>
      <w:r w:rsidR="00345EA6" w:rsidRPr="00E33E31">
        <w:t xml:space="preserve">o had </w:t>
      </w:r>
      <w:r w:rsidRPr="00E33E31">
        <w:t>UKA.</w:t>
      </w:r>
      <w:r w:rsidR="008A5FDB" w:rsidRPr="00E33E31">
        <w:t xml:space="preserve"> </w:t>
      </w:r>
      <w:r w:rsidRPr="00E33E31">
        <w:t>All patients shouldn’t have had any previous KAs with their present unilateral KA being conducted using the medial para-patellar approach. They were operated on and referred by the same surgeon. They followed the same post-operative hospitalization and home care programs.</w:t>
      </w:r>
      <w:r w:rsidR="00D41786" w:rsidRPr="00E33E31">
        <w:t xml:space="preserve"> </w:t>
      </w:r>
      <w:r w:rsidRPr="00E33E31">
        <w:t>An additional group of 15 patients, serving as control (group IV) participated in the study. The control group included those who had unilateral moderate or severe knee OA (determined as grades III or IV using Kellgren and Lawrence scale</w:t>
      </w:r>
      <w:r w:rsidR="00444C1B" w:rsidRPr="00E33E31">
        <w:t xml:space="preserve"> [4</w:t>
      </w:r>
      <w:r w:rsidR="00CD0EEA" w:rsidRPr="00E33E31">
        <w:t>9</w:t>
      </w:r>
      <w:r w:rsidR="00444C1B" w:rsidRPr="00E33E31">
        <w:t>]</w:t>
      </w:r>
      <w:r w:rsidRPr="00E33E31">
        <w:t>) and who were indicated for surgery but weren’t operated on yet.</w:t>
      </w:r>
      <w:r w:rsidR="00D41786" w:rsidRPr="00E33E31">
        <w:t xml:space="preserve"> </w:t>
      </w:r>
      <w:r w:rsidRPr="00E33E31">
        <w:t>Group</w:t>
      </w:r>
      <w:r w:rsidR="007257C6">
        <w:t>s</w:t>
      </w:r>
      <w:r w:rsidRPr="00E33E31">
        <w:t xml:space="preserve"> I, II, III and IV involved 9, 8, 8, and 8 females respectively and 6, 7, 7, and 7 males respectively. The age ranged from 50-70 years, and BMI 30-39 kg/m</w:t>
      </w:r>
      <w:r w:rsidRPr="00E33E31">
        <w:rPr>
          <w:vertAlign w:val="superscript"/>
        </w:rPr>
        <w:t>2</w:t>
      </w:r>
      <w:r w:rsidRPr="00E33E31">
        <w:t>for all patients. Exclusion criteria involved having any previous knee or lower limb surgery, any disorder that affects balance (as peripheral neuropathy, vestibular system disorder, vertebr</w:t>
      </w:r>
      <w:r w:rsidR="00D41786" w:rsidRPr="00E33E31">
        <w:t>o</w:t>
      </w:r>
      <w:r w:rsidRPr="00E33E31">
        <w:t>-basilar insufficiency and/or postural hypotension), any neurological disorder, any cardiac disease, diabetes, uncontrolled hypertension, BMI</w:t>
      </w:r>
      <w:r w:rsidRPr="00E33E31">
        <w:rPr>
          <w:bCs/>
        </w:rPr>
        <w:t xml:space="preserve">≥40 or any </w:t>
      </w:r>
      <w:r w:rsidRPr="00E33E31">
        <w:t>post-operative complication (as infection and/or loosening) for those who were operated on</w:t>
      </w:r>
      <w:r w:rsidRPr="00E33E31">
        <w:rPr>
          <w:bCs/>
        </w:rPr>
        <w:t>. All patients gave informed consents prior to participating in the study which was approved by Cairo’s University supreme council of postgraduate studies and research.</w:t>
      </w:r>
    </w:p>
    <w:p w:rsidR="00F54DA3" w:rsidRPr="00E33E31" w:rsidRDefault="00852837" w:rsidP="00F87210">
      <w:pPr>
        <w:pStyle w:val="Style1"/>
      </w:pPr>
      <w:r w:rsidRPr="00E33E31">
        <w:t>Procedures</w:t>
      </w:r>
    </w:p>
    <w:p w:rsidR="00F54DA3" w:rsidRPr="00E33E31" w:rsidRDefault="00852837" w:rsidP="00F87210">
      <w:pPr>
        <w:pStyle w:val="Text"/>
        <w:ind w:firstLine="204"/>
      </w:pPr>
      <w:r w:rsidRPr="00E33E31">
        <w:t xml:space="preserve">All patients were assessed for </w:t>
      </w:r>
      <w:r w:rsidR="00D41786" w:rsidRPr="00E33E31">
        <w:t xml:space="preserve">dynamic </w:t>
      </w:r>
      <w:r w:rsidRPr="00E33E31">
        <w:t>balance, functional performance and pain.</w:t>
      </w:r>
    </w:p>
    <w:p w:rsidR="00852837" w:rsidRPr="00F87210" w:rsidRDefault="00852837" w:rsidP="00F87210">
      <w:pPr>
        <w:pStyle w:val="Style3"/>
      </w:pPr>
      <w:r w:rsidRPr="00F87210">
        <w:t xml:space="preserve">1. Dynamic </w:t>
      </w:r>
      <w:r w:rsidR="007E5412" w:rsidRPr="00F87210">
        <w:t>B</w:t>
      </w:r>
      <w:r w:rsidRPr="00F87210">
        <w:t xml:space="preserve">alance </w:t>
      </w:r>
      <w:r w:rsidR="007E5412" w:rsidRPr="00F87210">
        <w:t>A</w:t>
      </w:r>
      <w:r w:rsidRPr="00F87210">
        <w:t>ssessment</w:t>
      </w:r>
    </w:p>
    <w:p w:rsidR="007E5412" w:rsidRPr="00E33E31" w:rsidRDefault="007E5412" w:rsidP="00CD0EEA">
      <w:pPr>
        <w:spacing w:line="252" w:lineRule="auto"/>
        <w:ind w:firstLine="202"/>
        <w:jc w:val="both"/>
        <w:rPr>
          <w:color w:val="FF0000"/>
        </w:rPr>
      </w:pPr>
      <w:r w:rsidRPr="00E33E31">
        <w:t>Dynamic balance was assessed using the Berg Balance Scale (BBS) which was developed to be used with old people who have impairment in balance. It has a total score of 56 with higher scores indicating higher levels of independence. It has an inter-rater reliability of ICC=</w:t>
      </w:r>
      <w:r w:rsidRPr="00E33E31">
        <w:rPr>
          <w:lang w:bidi="ar-EG"/>
        </w:rPr>
        <w:t>0</w:t>
      </w:r>
      <w:r w:rsidRPr="00E33E31">
        <w:t xml:space="preserve">.97 in patients with peripheral arthritis </w:t>
      </w:r>
      <w:r w:rsidR="00444C1B" w:rsidRPr="00E33E31">
        <w:t>[</w:t>
      </w:r>
      <w:r w:rsidR="00CD0EEA" w:rsidRPr="00E33E31">
        <w:t>50</w:t>
      </w:r>
      <w:r w:rsidR="00444C1B" w:rsidRPr="00E33E31">
        <w:t>].</w:t>
      </w:r>
    </w:p>
    <w:p w:rsidR="007E5412" w:rsidRPr="00E33E31" w:rsidRDefault="007E5412" w:rsidP="00F87210">
      <w:pPr>
        <w:pStyle w:val="Style3"/>
      </w:pPr>
      <w:r w:rsidRPr="00E33E31">
        <w:t>2. Functional Performance Assessment</w:t>
      </w:r>
    </w:p>
    <w:p w:rsidR="007E5412" w:rsidRPr="00E33E31" w:rsidRDefault="007E5412" w:rsidP="00491A33">
      <w:pPr>
        <w:spacing w:line="252" w:lineRule="auto"/>
        <w:ind w:firstLine="202"/>
        <w:jc w:val="both"/>
      </w:pPr>
      <w:r w:rsidRPr="00E33E31">
        <w:t>Functional performance was assessed using the Stair Climbing (SC) and Timed Up-and-Go (TUG) tests. Considering the SC test, e</w:t>
      </w:r>
      <w:r w:rsidRPr="00E33E31">
        <w:rPr>
          <w:bCs/>
        </w:rPr>
        <w:t xml:space="preserve">ach patient was asked to ascend and descend a flight of five steps (18-cm high and 28-cm deep). The test was performed as quickly as possible while feeling safe and comfortable with one handrail being allowed if needed. </w:t>
      </w:r>
      <w:r w:rsidRPr="00E33E31">
        <w:t xml:space="preserve">The time required to perform the task was recorded in seconds. A decrease in the recorded time indicates improvement. A test-retest reliability of ICC=0.9 was reported for this test in patients with knee and hip OA </w:t>
      </w:r>
      <w:r w:rsidR="00491A33" w:rsidRPr="00E33E31">
        <w:t>[4]</w:t>
      </w:r>
      <w:r w:rsidRPr="00E33E31">
        <w:t>.</w:t>
      </w:r>
    </w:p>
    <w:p w:rsidR="007E5412" w:rsidRPr="00E33E31" w:rsidRDefault="007E5412" w:rsidP="00CD0EEA">
      <w:pPr>
        <w:pStyle w:val="Text"/>
      </w:pPr>
      <w:r w:rsidRPr="00E33E31">
        <w:t>Considering the TUG test, each patient was asked to ri</w:t>
      </w:r>
      <w:r w:rsidRPr="00E33E31">
        <w:rPr>
          <w:bCs/>
        </w:rPr>
        <w:t>se from an armed chair (with a seat height of 46cm), walk 3m, turn and return to sit in the same chair. Patients were asked to walk as quickly as possible while feeling safe and</w:t>
      </w:r>
      <w:r w:rsidR="00AA6CE1">
        <w:rPr>
          <w:bCs/>
        </w:rPr>
        <w:t xml:space="preserve"> </w:t>
      </w:r>
      <w:r w:rsidRPr="00E33E31">
        <w:rPr>
          <w:bCs/>
        </w:rPr>
        <w:lastRenderedPageBreak/>
        <w:t xml:space="preserve">comfortable. The chair arms were permitted to help in standing up and sitting down. </w:t>
      </w:r>
      <w:r w:rsidRPr="00E33E31">
        <w:t>The time required to perform the task was recorded in seconds. The TUG</w:t>
      </w:r>
      <w:r w:rsidR="00A85FC6" w:rsidRPr="00E33E31">
        <w:t xml:space="preserve"> </w:t>
      </w:r>
      <w:r w:rsidR="00480A20" w:rsidRPr="00E33E31">
        <w:t>test</w:t>
      </w:r>
      <w:r w:rsidRPr="00E33E31">
        <w:t xml:space="preserve"> assesses balance and mobility in old adults</w:t>
      </w:r>
      <w:r w:rsidR="00FF383A" w:rsidRPr="00E33E31">
        <w:t xml:space="preserve"> </w:t>
      </w:r>
      <w:r w:rsidR="00030910" w:rsidRPr="00E33E31">
        <w:t>[</w:t>
      </w:r>
      <w:r w:rsidR="00CD0EEA" w:rsidRPr="00E33E31">
        <w:t>51</w:t>
      </w:r>
      <w:r w:rsidR="00030910" w:rsidRPr="00E33E31">
        <w:t xml:space="preserve">]. </w:t>
      </w:r>
      <w:r w:rsidRPr="00E33E31">
        <w:t>An intertester reliability of ICC=0.94-0.99 and intratester reliability of ICC=0.72-0.98 were reported for the TUG test in patients with knee OA</w:t>
      </w:r>
      <w:r w:rsidR="00030910" w:rsidRPr="00E33E31">
        <w:t xml:space="preserve"> [</w:t>
      </w:r>
      <w:r w:rsidR="00CD0EEA" w:rsidRPr="00E33E31">
        <w:t>52</w:t>
      </w:r>
      <w:r w:rsidR="00030910" w:rsidRPr="00E33E31">
        <w:t xml:space="preserve">]. </w:t>
      </w:r>
    </w:p>
    <w:p w:rsidR="007E5412" w:rsidRPr="00E33E31" w:rsidRDefault="007E5412" w:rsidP="00F87210">
      <w:pPr>
        <w:pStyle w:val="Style3"/>
      </w:pPr>
      <w:r w:rsidRPr="00E33E31">
        <w:t>3. Pain Assessment</w:t>
      </w:r>
    </w:p>
    <w:p w:rsidR="007E5412" w:rsidRPr="00E33E31" w:rsidRDefault="007E5412" w:rsidP="00CD0EEA">
      <w:pPr>
        <w:shd w:val="clear" w:color="auto" w:fill="FFFFFF"/>
        <w:spacing w:line="252" w:lineRule="auto"/>
        <w:ind w:firstLine="202"/>
        <w:jc w:val="both"/>
      </w:pPr>
      <w:r w:rsidRPr="00E33E31">
        <w:t>Pain was assessed using the Western Ontario and McMaster Universities Osteoarthritis Index (WOMAC) pain subscale. Excellent validity, reliability and responsiveness have been reported for the WOMAC pain subscale in patients with knee osteoarthritis</w:t>
      </w:r>
      <w:r w:rsidR="00030910" w:rsidRPr="00E33E31">
        <w:t xml:space="preserve"> [</w:t>
      </w:r>
      <w:r w:rsidR="00CD0EEA" w:rsidRPr="00E33E31">
        <w:t>53</w:t>
      </w:r>
      <w:r w:rsidR="00030910" w:rsidRPr="00E33E31">
        <w:t>].</w:t>
      </w:r>
    </w:p>
    <w:p w:rsidR="007E5412" w:rsidRPr="00E33E31" w:rsidRDefault="007E5412" w:rsidP="002C0C65">
      <w:pPr>
        <w:spacing w:line="252" w:lineRule="auto"/>
        <w:ind w:firstLine="202"/>
        <w:jc w:val="both"/>
        <w:rPr>
          <w:bCs/>
        </w:rPr>
      </w:pPr>
      <w:r w:rsidRPr="00E33E31">
        <w:rPr>
          <w:bCs/>
        </w:rPr>
        <w:t xml:space="preserve">The three experimental groups were assessed four times; 4 and 8 weeks preoperatively and 4 and 8 weeks postoperatively. Assessment was conducted twice pre-operatively for consistency. The control group was assessed four times at the same time intervals. </w:t>
      </w:r>
    </w:p>
    <w:p w:rsidR="007E5412" w:rsidRPr="00E33E31" w:rsidRDefault="007E5412" w:rsidP="00CD0EEA">
      <w:pPr>
        <w:spacing w:line="252" w:lineRule="auto"/>
        <w:ind w:firstLine="202"/>
        <w:jc w:val="both"/>
        <w:rPr>
          <w:bCs/>
          <w:color w:val="000000"/>
        </w:rPr>
      </w:pPr>
      <w:r w:rsidRPr="00E33E31">
        <w:rPr>
          <w:bCs/>
          <w:color w:val="000000"/>
        </w:rPr>
        <w:t xml:space="preserve">Following KA, patients underwent their </w:t>
      </w:r>
      <w:r w:rsidR="00C27581" w:rsidRPr="00E33E31">
        <w:rPr>
          <w:bCs/>
          <w:color w:val="000000"/>
        </w:rPr>
        <w:t xml:space="preserve">rehabilitation </w:t>
      </w:r>
      <w:r w:rsidR="0089698A" w:rsidRPr="00E33E31">
        <w:rPr>
          <w:bCs/>
          <w:color w:val="000000"/>
        </w:rPr>
        <w:t xml:space="preserve">that involved the same exercises that were conducted by </w:t>
      </w:r>
      <w:r w:rsidR="00CD0EEA" w:rsidRPr="00E33E31">
        <w:rPr>
          <w:bCs/>
          <w:color w:val="000000"/>
        </w:rPr>
        <w:t>[54</w:t>
      </w:r>
      <w:r w:rsidR="002B5BCC" w:rsidRPr="00E33E31">
        <w:rPr>
          <w:bCs/>
          <w:color w:val="000000"/>
        </w:rPr>
        <w:t>].</w:t>
      </w:r>
      <w:r w:rsidR="00C27581" w:rsidRPr="00E33E31">
        <w:rPr>
          <w:bCs/>
          <w:color w:val="000000"/>
        </w:rPr>
        <w:t xml:space="preserve"> </w:t>
      </w:r>
      <w:r w:rsidR="0089698A" w:rsidRPr="00E33E31">
        <w:rPr>
          <w:bCs/>
          <w:color w:val="000000"/>
        </w:rPr>
        <w:t>The rehabilitation</w:t>
      </w:r>
      <w:r w:rsidRPr="00E33E31">
        <w:rPr>
          <w:bCs/>
          <w:color w:val="000000"/>
        </w:rPr>
        <w:t xml:space="preserve"> included three programs; an immediate post-operative program (hospitalization period), a home-based physical therapy program, and an outpatient</w:t>
      </w:r>
      <w:r w:rsidR="00D70ED0">
        <w:rPr>
          <w:bCs/>
          <w:color w:val="000000"/>
        </w:rPr>
        <w:t xml:space="preserve"> clinic rehabilitation program.</w:t>
      </w:r>
    </w:p>
    <w:p w:rsidR="007E5412" w:rsidRPr="00E33E31" w:rsidRDefault="007E5412" w:rsidP="002C0C65">
      <w:pPr>
        <w:spacing w:line="252" w:lineRule="auto"/>
        <w:ind w:firstLine="202"/>
        <w:jc w:val="both"/>
        <w:rPr>
          <w:color w:val="000000"/>
        </w:rPr>
      </w:pPr>
      <w:r w:rsidRPr="00E33E31">
        <w:rPr>
          <w:bCs/>
          <w:color w:val="000000"/>
        </w:rPr>
        <w:t xml:space="preserve">The immediate post-operative program consisted of heel slides in supine-lying or sitting position to increase knee flexion, ice application for 15 minutes (performed twice per day), static quadriceps exercise, straight leg raising exercises, muscle-setting exercises </w:t>
      </w:r>
      <w:r w:rsidR="00653D9A" w:rsidRPr="00E33E31">
        <w:rPr>
          <w:bCs/>
          <w:color w:val="000000"/>
        </w:rPr>
        <w:t>for</w:t>
      </w:r>
      <w:r w:rsidRPr="00E33E31">
        <w:rPr>
          <w:bCs/>
          <w:color w:val="000000"/>
        </w:rPr>
        <w:t xml:space="preserve"> the quadriceps, hip extensors, hamstrings, and hip a</w:t>
      </w:r>
      <w:r w:rsidR="00326698" w:rsidRPr="00E33E31">
        <w:rPr>
          <w:bCs/>
          <w:color w:val="000000"/>
        </w:rPr>
        <w:t>b</w:t>
      </w:r>
      <w:r w:rsidRPr="00E33E31">
        <w:rPr>
          <w:bCs/>
          <w:color w:val="000000"/>
        </w:rPr>
        <w:t>ductors, bed mobility and transfers usually initiated 24-48 hours post-operatively, ankle pumps to prevent secondary complications such as deep vein thrombosis, gravity-assisted knee extension in supine-lying position by periodically placing a towel roll under the ankle and leaving the knee unsupported, compressive wrap to control effusion and p</w:t>
      </w:r>
      <w:r w:rsidRPr="00E33E31">
        <w:rPr>
          <w:color w:val="000000"/>
        </w:rPr>
        <w:t xml:space="preserve">artial weight bearing by using a walker. </w:t>
      </w:r>
    </w:p>
    <w:p w:rsidR="007E5412" w:rsidRPr="00E33E31" w:rsidRDefault="007E5412" w:rsidP="002C0C65">
      <w:pPr>
        <w:spacing w:line="252" w:lineRule="auto"/>
        <w:ind w:firstLine="202"/>
        <w:jc w:val="both"/>
        <w:rPr>
          <w:bCs/>
          <w:color w:val="000000"/>
        </w:rPr>
      </w:pPr>
      <w:r w:rsidRPr="00E33E31">
        <w:rPr>
          <w:color w:val="000000"/>
        </w:rPr>
        <w:t xml:space="preserve">The home-based physical therapy program consisted of </w:t>
      </w:r>
      <w:r w:rsidRPr="00E33E31">
        <w:rPr>
          <w:bCs/>
          <w:color w:val="000000"/>
        </w:rPr>
        <w:t>static exercises, active assisted and active knee range of motion exercises, daily living activities, patellar mobilization (grades I and II), isometric strengthening exercises for the hip abductors and adductors, active assisted progressing to active straight-leg raising in supine, prone, and side lying positions, gentle stretches for the hamstrings, calf, and iliotibial band, supine terminal knee extension from 30°-0°, walking (weight bearing as tolerated) with an assistive device, trunk/pelvis strengthening exercises.</w:t>
      </w:r>
    </w:p>
    <w:p w:rsidR="00040642" w:rsidRPr="00D55901" w:rsidRDefault="007E5412" w:rsidP="002C0C65">
      <w:pPr>
        <w:spacing w:line="252" w:lineRule="auto"/>
        <w:ind w:firstLine="202"/>
        <w:jc w:val="both"/>
      </w:pPr>
      <w:r w:rsidRPr="00E33E31">
        <w:rPr>
          <w:bCs/>
          <w:color w:val="000000"/>
        </w:rPr>
        <w:t xml:space="preserve">The outpatient clinic rehabilitation program included interventions that are designed to control pain and swelling, </w:t>
      </w:r>
      <w:r w:rsidR="00040642" w:rsidRPr="00E33E31">
        <w:rPr>
          <w:bCs/>
          <w:color w:val="000000"/>
        </w:rPr>
        <w:t xml:space="preserve">stretching and patellar mobilizations to improve knee ROM, progressive high intensity volitional exercises to increase lower extremity strength, and training to </w:t>
      </w:r>
      <w:r w:rsidR="00040642" w:rsidRPr="00D55901">
        <w:rPr>
          <w:bCs/>
        </w:rPr>
        <w:t>improve functional ability. It consisted of p</w:t>
      </w:r>
      <w:r w:rsidR="00040642" w:rsidRPr="00D55901">
        <w:t xml:space="preserve">atellar mobilization exercises, </w:t>
      </w:r>
      <w:r w:rsidR="00040642" w:rsidRPr="00D55901">
        <w:rPr>
          <w:lang w:bidi="ar-EG"/>
        </w:rPr>
        <w:t>active-assisted flexion and extension exercises, p</w:t>
      </w:r>
      <w:r w:rsidR="00040642" w:rsidRPr="00D55901">
        <w:t>assive knee extension, quadriceps and hamstrings setting</w:t>
      </w:r>
      <w:r w:rsidR="00040642" w:rsidRPr="00D55901">
        <w:rPr>
          <w:lang w:bidi="ar-EG"/>
        </w:rPr>
        <w:t xml:space="preserve"> exercises, s</w:t>
      </w:r>
      <w:r w:rsidR="00040642" w:rsidRPr="00D55901">
        <w:rPr>
          <w:kern w:val="36"/>
        </w:rPr>
        <w:t>traight leg raising exercises, terminal knee extension, m</w:t>
      </w:r>
      <w:r w:rsidR="00040642" w:rsidRPr="00D55901">
        <w:t xml:space="preserve">ulti angle isometric exercises for the quadriceps muscle, hip abduction and adduction exercises, knee flexion from </w:t>
      </w:r>
      <w:r w:rsidR="00040642" w:rsidRPr="00D55901">
        <w:lastRenderedPageBreak/>
        <w:t>standing, stretching exercises for the iliotibial band, hamstrings, ga</w:t>
      </w:r>
      <w:r w:rsidR="00D70ED0">
        <w:t>strocnemius and soleus muscles.</w:t>
      </w:r>
    </w:p>
    <w:p w:rsidR="00040642" w:rsidRPr="00E33E31" w:rsidRDefault="00040642" w:rsidP="002C0C65">
      <w:pPr>
        <w:spacing w:line="252" w:lineRule="auto"/>
        <w:ind w:firstLine="202"/>
        <w:jc w:val="both"/>
        <w:rPr>
          <w:color w:val="333333"/>
        </w:rPr>
      </w:pPr>
      <w:r w:rsidRPr="00D55901">
        <w:rPr>
          <w:bCs/>
        </w:rPr>
        <w:t>The immediate post-operative program was conducted</w:t>
      </w:r>
      <w:r w:rsidRPr="00E33E31">
        <w:rPr>
          <w:bCs/>
          <w:color w:val="000000"/>
        </w:rPr>
        <w:t xml:space="preserve"> daily for the first post-operative week followed by the home-based physical therapy program that was conducted every other day starting from the second post-operative week to the fourth. Finally, the outpatient clinic rehabilitation program was conducted three times per week starting from the fifth post-operative week till the eighth. </w:t>
      </w:r>
      <w:r w:rsidR="0036276D" w:rsidRPr="00E33E31">
        <w:rPr>
          <w:bCs/>
          <w:color w:val="000000"/>
        </w:rPr>
        <w:t xml:space="preserve">The control group also conducted the same rehabilitation programs. </w:t>
      </w:r>
      <w:r w:rsidRPr="00E33E31">
        <w:rPr>
          <w:bCs/>
          <w:color w:val="000000"/>
        </w:rPr>
        <w:t>All programs were conducted by the same therapist.</w:t>
      </w:r>
    </w:p>
    <w:p w:rsidR="00040642" w:rsidRPr="00E33E31" w:rsidRDefault="00040642" w:rsidP="00D55901">
      <w:pPr>
        <w:pStyle w:val="Style1"/>
      </w:pPr>
      <w:r w:rsidRPr="00E33E31">
        <w:t>Data Analysis</w:t>
      </w:r>
    </w:p>
    <w:p w:rsidR="00040642" w:rsidRPr="00E33E31" w:rsidRDefault="00040642" w:rsidP="002C0C65">
      <w:pPr>
        <w:spacing w:line="252" w:lineRule="auto"/>
        <w:ind w:firstLine="202"/>
        <w:jc w:val="both"/>
      </w:pPr>
      <w:r w:rsidRPr="00E33E31">
        <w:t>All statistical measures were performed using SPSS version 17 for Windows. Initially and as a pre-requisite for parametric analysis, data were screened for normality assumption through using Kolmogorov-Smirnov and Shapiro-Wilks normality tests, and testing for the presence of extreme scores and significant skewness and kurtosis. In addition, data were screened for homogeneity of variance assumption. Once data were found not to violate the normality and homogeneity of variance assumptions, parametric analysis was conducted. Mixed design MANOVA was used to compare among the four assessments (within-subject effect “time”), the four tested groups (between-subject effect “tested group”) and the “time*tested group” interaction. The level of significance was set at p&lt;0.05.</w:t>
      </w:r>
    </w:p>
    <w:p w:rsidR="00040642" w:rsidRPr="00DD6ADC" w:rsidRDefault="00040642" w:rsidP="00D55901">
      <w:pPr>
        <w:pStyle w:val="Style2"/>
      </w:pPr>
      <w:r w:rsidRPr="00DD6ADC">
        <w:t>Results</w:t>
      </w:r>
    </w:p>
    <w:p w:rsidR="00824BF8" w:rsidRDefault="00824BF8" w:rsidP="002C0C65">
      <w:pPr>
        <w:spacing w:line="252" w:lineRule="auto"/>
        <w:ind w:firstLine="202"/>
        <w:jc w:val="both"/>
        <w:rPr>
          <w:bCs/>
        </w:rPr>
      </w:pPr>
      <w:r w:rsidRPr="00DD6ADC">
        <w:rPr>
          <w:bCs/>
        </w:rPr>
        <w:t>Descriptive statistics revealed that the mean±SD values for the age were 54.53±3.44, 55.13±3.48, 52.8±1.9 and 55.33±2.32 years and the BMI were 35.7±3.01, 35.7±1.99, 35.6±1.88 and 35.73±1.03 kg/m</w:t>
      </w:r>
      <w:r w:rsidRPr="00DD6ADC">
        <w:rPr>
          <w:bCs/>
          <w:vertAlign w:val="superscript"/>
        </w:rPr>
        <w:t>2</w:t>
      </w:r>
      <w:r w:rsidRPr="00DD6ADC">
        <w:rPr>
          <w:bCs/>
        </w:rPr>
        <w:t xml:space="preserve"> for group</w:t>
      </w:r>
      <w:r w:rsidR="007257C6">
        <w:rPr>
          <w:bCs/>
        </w:rPr>
        <w:t>s</w:t>
      </w:r>
      <w:r w:rsidRPr="00DD6ADC">
        <w:rPr>
          <w:bCs/>
        </w:rPr>
        <w:t xml:space="preserve"> I, II, III, and IV respectively with no significant differences among the groups for both the age and BMI.</w:t>
      </w:r>
    </w:p>
    <w:p w:rsidR="00040642" w:rsidRPr="00E33E31" w:rsidRDefault="00040642" w:rsidP="002C0C65">
      <w:pPr>
        <w:spacing w:line="252" w:lineRule="auto"/>
        <w:ind w:firstLine="202"/>
        <w:jc w:val="both"/>
        <w:rPr>
          <w:bCs/>
        </w:rPr>
      </w:pPr>
      <w:r w:rsidRPr="00E33E31">
        <w:rPr>
          <w:bCs/>
        </w:rPr>
        <w:t>The Mixed Design MANOVA revealed highly significant within-subject and between-subject effects together with significant time*tested group interaction (p=0.000). The within-subject effect revealed significant decreases (p&lt;0.05)</w:t>
      </w:r>
      <w:r w:rsidR="004163AF" w:rsidRPr="00E33E31">
        <w:rPr>
          <w:bCs/>
        </w:rPr>
        <w:t xml:space="preserve"> </w:t>
      </w:r>
      <w:r w:rsidRPr="00E33E31">
        <w:rPr>
          <w:bCs/>
        </w:rPr>
        <w:t>in the post1 BBS scores compared with the pre1, pre2 and post2</w:t>
      </w:r>
      <w:r w:rsidR="004163AF" w:rsidRPr="00E33E31">
        <w:rPr>
          <w:bCs/>
        </w:rPr>
        <w:t xml:space="preserve"> </w:t>
      </w:r>
      <w:r w:rsidRPr="00E33E31">
        <w:rPr>
          <w:bCs/>
        </w:rPr>
        <w:t>ones in the three experimental groups. However, there were significant (p&lt;0.05) increases in post2 BBS scores compared with the pre1, pre2 and post1 BBS ones in the three experimental groups. There were no significant differences (p&gt;0.05) in BBS scores among the four times of assessment in the control group.</w:t>
      </w:r>
    </w:p>
    <w:p w:rsidR="00040642" w:rsidRPr="00E33E31" w:rsidRDefault="00040642" w:rsidP="00B8428F">
      <w:pPr>
        <w:spacing w:line="252" w:lineRule="auto"/>
        <w:ind w:firstLine="202"/>
        <w:jc w:val="both"/>
        <w:rPr>
          <w:bCs/>
        </w:rPr>
      </w:pPr>
      <w:r w:rsidRPr="00E33E31">
        <w:rPr>
          <w:bCs/>
        </w:rPr>
        <w:t xml:space="preserve">Regarding the recorded time of </w:t>
      </w:r>
      <w:r w:rsidR="00B8428F" w:rsidRPr="00E33E31">
        <w:rPr>
          <w:bCs/>
        </w:rPr>
        <w:t xml:space="preserve">the </w:t>
      </w:r>
      <w:r w:rsidRPr="00E33E31">
        <w:rPr>
          <w:bCs/>
        </w:rPr>
        <w:t>TUG and SC t</w:t>
      </w:r>
      <w:r w:rsidR="00B8428F" w:rsidRPr="00E33E31">
        <w:rPr>
          <w:bCs/>
        </w:rPr>
        <w:t>est</w:t>
      </w:r>
      <w:r w:rsidR="00731CB1" w:rsidRPr="00E33E31">
        <w:rPr>
          <w:bCs/>
        </w:rPr>
        <w:t>s</w:t>
      </w:r>
      <w:r w:rsidRPr="00E33E31">
        <w:rPr>
          <w:bCs/>
        </w:rPr>
        <w:t>, it increased significantly (p≤0.001) in the post1 compared with the pre1, pre2 and post2 measurements in the three experimental groups. However, there were significant (p&lt;0.05) decreases in the post2 compared with the pre1, pre2 and post1 measurements in the three experimental groups. Regarding the recorded time in the control group, it decreased significantly (p=0.000) in each of post1 and post2 compared with pre1 and pre2 measurements. Meanwhile, it decreased significantly (p≤0.003) in post2 compared with post1 measurements.</w:t>
      </w:r>
    </w:p>
    <w:p w:rsidR="00040642" w:rsidRPr="00E33E31" w:rsidRDefault="00040642" w:rsidP="00266994">
      <w:pPr>
        <w:spacing w:line="252" w:lineRule="auto"/>
        <w:jc w:val="both"/>
        <w:rPr>
          <w:caps/>
        </w:rPr>
        <w:sectPr w:rsidR="00040642" w:rsidRPr="00E33E31" w:rsidSect="00D55901">
          <w:type w:val="continuous"/>
          <w:pgSz w:w="12240" w:h="15840" w:code="1"/>
          <w:pgMar w:top="1008" w:right="936" w:bottom="1008" w:left="936" w:header="432" w:footer="432" w:gutter="0"/>
          <w:cols w:num="2" w:space="289"/>
          <w:docGrid w:linePitch="272"/>
        </w:sectPr>
      </w:pPr>
    </w:p>
    <w:p w:rsidR="00040642" w:rsidRPr="00D55901" w:rsidRDefault="00040642" w:rsidP="003017E7">
      <w:pPr>
        <w:spacing w:line="252" w:lineRule="auto"/>
        <w:jc w:val="center"/>
        <w:rPr>
          <w:caps/>
          <w:sz w:val="16"/>
        </w:rPr>
      </w:pPr>
      <w:r w:rsidRPr="00D55901">
        <w:rPr>
          <w:caps/>
          <w:sz w:val="16"/>
        </w:rPr>
        <w:lastRenderedPageBreak/>
        <w:t>Table I</w:t>
      </w:r>
    </w:p>
    <w:p w:rsidR="00040642" w:rsidRPr="00E33E31" w:rsidRDefault="00040642" w:rsidP="00D55901">
      <w:pPr>
        <w:jc w:val="center"/>
        <w:sectPr w:rsidR="00040642" w:rsidRPr="00E33E31" w:rsidSect="00040642">
          <w:type w:val="continuous"/>
          <w:pgSz w:w="12240" w:h="15840" w:code="1"/>
          <w:pgMar w:top="1008" w:right="936" w:bottom="1008" w:left="936" w:header="432" w:footer="432" w:gutter="0"/>
          <w:cols w:space="288"/>
        </w:sectPr>
      </w:pPr>
      <w:r w:rsidRPr="00E33E31">
        <w:rPr>
          <w:smallCaps/>
          <w:sz w:val="16"/>
          <w:szCs w:val="16"/>
        </w:rPr>
        <w:t xml:space="preserve">Descriptive Statistics for the Berg Balance Scale (BBS) Scores, Timed-Up and Go (TUG) and Stair Climbing (SC) Tests’ Duration and WOMAC Pain Scores in the Cruciate Retaining, Posterior Stabilized, </w:t>
      </w:r>
      <w:r w:rsidR="007257C6" w:rsidRPr="00E33E31">
        <w:rPr>
          <w:smallCaps/>
          <w:sz w:val="16"/>
          <w:szCs w:val="16"/>
        </w:rPr>
        <w:t xml:space="preserve">and </w:t>
      </w:r>
      <w:r w:rsidRPr="00E33E31">
        <w:rPr>
          <w:smallCaps/>
          <w:sz w:val="16"/>
          <w:szCs w:val="16"/>
        </w:rPr>
        <w:t>Unicompartmental</w:t>
      </w:r>
      <w:r w:rsidR="00D55901">
        <w:rPr>
          <w:smallCaps/>
          <w:sz w:val="16"/>
          <w:szCs w:val="16"/>
        </w:rPr>
        <w:t xml:space="preserve"> </w:t>
      </w:r>
      <w:r w:rsidRPr="00E33E31">
        <w:rPr>
          <w:smallCaps/>
          <w:sz w:val="16"/>
          <w:szCs w:val="16"/>
        </w:rPr>
        <w:t>Knee</w:t>
      </w:r>
      <w:r w:rsidR="00D55901">
        <w:rPr>
          <w:smallCaps/>
          <w:sz w:val="16"/>
          <w:szCs w:val="16"/>
        </w:rPr>
        <w:t xml:space="preserve"> </w:t>
      </w:r>
      <w:r w:rsidRPr="00E33E31">
        <w:rPr>
          <w:smallCaps/>
          <w:sz w:val="16"/>
          <w:szCs w:val="16"/>
        </w:rPr>
        <w:t>Arthroplasty</w:t>
      </w:r>
      <w:r w:rsidR="00D55901">
        <w:rPr>
          <w:smallCaps/>
          <w:sz w:val="16"/>
          <w:szCs w:val="16"/>
        </w:rPr>
        <w:t xml:space="preserve"> </w:t>
      </w:r>
      <w:r w:rsidRPr="00E33E31">
        <w:rPr>
          <w:smallCaps/>
          <w:sz w:val="16"/>
          <w:szCs w:val="16"/>
        </w:rPr>
        <w:t xml:space="preserve">and Control Groups Four and Eight </w:t>
      </w:r>
      <w:r w:rsidR="00D55901">
        <w:rPr>
          <w:smallCaps/>
          <w:sz w:val="16"/>
          <w:szCs w:val="16"/>
        </w:rPr>
        <w:t>Weeks Pre- and Post-operatively</w:t>
      </w:r>
    </w:p>
    <w:tbl>
      <w:tblPr>
        <w:tblStyle w:val="TableGrid"/>
        <w:tblW w:w="4787"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tblPr>
      <w:tblGrid>
        <w:gridCol w:w="1634"/>
        <w:gridCol w:w="1163"/>
        <w:gridCol w:w="1810"/>
        <w:gridCol w:w="1700"/>
        <w:gridCol w:w="1982"/>
        <w:gridCol w:w="1844"/>
      </w:tblGrid>
      <w:tr w:rsidR="00040642" w:rsidRPr="00D55901" w:rsidTr="007257C6">
        <w:trPr>
          <w:trHeight w:val="227"/>
          <w:jc w:val="center"/>
        </w:trPr>
        <w:tc>
          <w:tcPr>
            <w:tcW w:w="806"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lastRenderedPageBreak/>
              <w:t>Dependent variable</w:t>
            </w:r>
          </w:p>
        </w:tc>
        <w:tc>
          <w:tcPr>
            <w:tcW w:w="574"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Tested group</w:t>
            </w:r>
          </w:p>
        </w:tc>
        <w:tc>
          <w:tcPr>
            <w:tcW w:w="893"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Pre1</w:t>
            </w:r>
          </w:p>
        </w:tc>
        <w:tc>
          <w:tcPr>
            <w:tcW w:w="839"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Pre2</w:t>
            </w:r>
          </w:p>
        </w:tc>
        <w:tc>
          <w:tcPr>
            <w:tcW w:w="978"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Post1</w:t>
            </w:r>
          </w:p>
        </w:tc>
        <w:tc>
          <w:tcPr>
            <w:tcW w:w="910" w:type="pct"/>
            <w:tcBorders>
              <w:top w:val="double" w:sz="4" w:space="0" w:color="auto"/>
              <w:bottom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Post2</w:t>
            </w:r>
          </w:p>
        </w:tc>
      </w:tr>
      <w:tr w:rsidR="00040642" w:rsidRPr="00D55901" w:rsidTr="007257C6">
        <w:trPr>
          <w:trHeight w:val="227"/>
          <w:jc w:val="center"/>
        </w:trPr>
        <w:tc>
          <w:tcPr>
            <w:tcW w:w="806" w:type="pct"/>
            <w:tcBorders>
              <w:top w:val="single" w:sz="4" w:space="0" w:color="000000" w:themeColor="text1"/>
            </w:tcBorders>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BBS</w:t>
            </w:r>
          </w:p>
        </w:tc>
        <w:tc>
          <w:tcPr>
            <w:tcW w:w="574" w:type="pct"/>
            <w:tcBorders>
              <w:top w:val="single" w:sz="4" w:space="0" w:color="000000" w:themeColor="text1"/>
            </w:tcBorders>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w:t>
            </w:r>
          </w:p>
        </w:tc>
        <w:tc>
          <w:tcPr>
            <w:tcW w:w="893" w:type="pct"/>
            <w:tcBorders>
              <w:top w:val="single" w:sz="4" w:space="0" w:color="000000" w:themeColor="text1"/>
            </w:tcBorders>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33.31 ±1.25</w:t>
            </w:r>
          </w:p>
        </w:tc>
        <w:tc>
          <w:tcPr>
            <w:tcW w:w="839" w:type="pct"/>
            <w:tcBorders>
              <w:top w:val="single" w:sz="4" w:space="0" w:color="000000" w:themeColor="text1"/>
            </w:tcBorders>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33.38 ±1.71</w:t>
            </w:r>
          </w:p>
        </w:tc>
        <w:tc>
          <w:tcPr>
            <w:tcW w:w="978" w:type="pct"/>
            <w:tcBorders>
              <w:top w:val="single" w:sz="4" w:space="0" w:color="000000" w:themeColor="text1"/>
            </w:tcBorders>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23 ±4.1</w:t>
            </w:r>
          </w:p>
        </w:tc>
        <w:tc>
          <w:tcPr>
            <w:tcW w:w="910" w:type="pct"/>
            <w:tcBorders>
              <w:top w:val="single" w:sz="4" w:space="0" w:color="000000" w:themeColor="text1"/>
            </w:tcBorders>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43.62 ±3.5</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33.13 ±1.3</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33.2 ±1.86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22.8 ±4.99</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42.73 ±4.3</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33.47 ±1.88</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33.4 ±1.76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28.27 ±2.28</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51 ±2.85</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IV</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 ±1.31</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33.07 ±0.8</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33.8 ±0.94</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35.27 ±0.8</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TUG (s).</w:t>
            </w: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73.15 ±3.41</w:t>
            </w:r>
          </w:p>
        </w:tc>
        <w:tc>
          <w:tcPr>
            <w:tcW w:w="839" w:type="pct"/>
            <w:vAlign w:val="center"/>
          </w:tcPr>
          <w:p w:rsidR="00040642" w:rsidRPr="00D55901" w:rsidRDefault="00040642" w:rsidP="00D55901">
            <w:pPr>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 ±3.76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88.69 ±3.97</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28.54 ±3.2</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73.8 ±2.54</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73.8 ±2.68</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88.8 ±4.09</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31.2 ±2.88</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73.87 ±3.11</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74 ±3.27</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77.6 ±2.16</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21 ±1.96</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IV</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73.67 ±2.53</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73.53 ±2.29</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65.6 ±2.26</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61.87 ±2.36</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SCT (s).</w:t>
            </w: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76.54 ±1.66</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76.92 ±1.61</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91.31 ±3.09</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34 ±2.27</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77.93 ±2.25</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77.93 ±2.74</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91.93 ±3.95</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38.73 ±3.13</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77.67 ±2.16</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77.73 ±2.09</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84.73 ±1.49</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23.13 ±3.02</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IV</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77.47 ±1.46</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77.6 ±1.96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66.27 ±2.05</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61.6 ±2.32</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r w:rsidRPr="00D55901">
              <w:rPr>
                <w:rFonts w:ascii="Times New Roman" w:hAnsi="Times New Roman" w:cs="Times New Roman"/>
                <w:b/>
                <w:bCs/>
                <w:sz w:val="16"/>
                <w:szCs w:val="16"/>
              </w:rPr>
              <w:t>Pain</w:t>
            </w: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 ±0.82</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11.08 ±0.86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15.92 ±1.32</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4.23 ±0.83</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b/>
                <w:bCs/>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11.13 ±0.64</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11.13 ±1.06</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15.47 ±1.06</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6.2 ±0.86</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III</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 ±0.76</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11.07 ±0.7</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 ±1.56</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2.33 ±0.82</w:t>
            </w:r>
          </w:p>
        </w:tc>
      </w:tr>
      <w:tr w:rsidR="00040642" w:rsidRPr="00D55901" w:rsidTr="007257C6">
        <w:trPr>
          <w:trHeight w:val="227"/>
          <w:jc w:val="center"/>
        </w:trPr>
        <w:tc>
          <w:tcPr>
            <w:tcW w:w="806" w:type="pct"/>
            <w:vAlign w:val="center"/>
          </w:tcPr>
          <w:p w:rsidR="00040642" w:rsidRPr="00D55901" w:rsidRDefault="00040642" w:rsidP="00D55901">
            <w:pPr>
              <w:jc w:val="center"/>
              <w:rPr>
                <w:rFonts w:ascii="Times New Roman" w:hAnsi="Times New Roman" w:cs="Times New Roman"/>
                <w:sz w:val="16"/>
                <w:szCs w:val="16"/>
              </w:rPr>
            </w:pPr>
          </w:p>
        </w:tc>
        <w:tc>
          <w:tcPr>
            <w:tcW w:w="574"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Group IV</w:t>
            </w:r>
          </w:p>
        </w:tc>
        <w:tc>
          <w:tcPr>
            <w:tcW w:w="893"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11.07 ±0.8</w:t>
            </w:r>
          </w:p>
        </w:tc>
        <w:tc>
          <w:tcPr>
            <w:tcW w:w="839"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11.07 ±0.8</w:t>
            </w:r>
          </w:p>
        </w:tc>
        <w:tc>
          <w:tcPr>
            <w:tcW w:w="978"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7.8 ±0.77</w:t>
            </w:r>
          </w:p>
        </w:tc>
        <w:tc>
          <w:tcPr>
            <w:tcW w:w="910" w:type="pct"/>
            <w:vAlign w:val="center"/>
          </w:tcPr>
          <w:p w:rsidR="00040642" w:rsidRPr="00D55901" w:rsidRDefault="00040642" w:rsidP="00D55901">
            <w:pPr>
              <w:adjustRightInd w:val="0"/>
              <w:jc w:val="center"/>
              <w:rPr>
                <w:rFonts w:ascii="Times New Roman" w:hAnsi="Times New Roman" w:cs="Times New Roman"/>
                <w:color w:val="000000"/>
                <w:sz w:val="16"/>
                <w:szCs w:val="16"/>
              </w:rPr>
            </w:pPr>
            <w:r w:rsidRPr="00D55901">
              <w:rPr>
                <w:rFonts w:ascii="Times New Roman" w:hAnsi="Times New Roman" w:cs="Times New Roman"/>
                <w:color w:val="000000"/>
                <w:sz w:val="16"/>
                <w:szCs w:val="16"/>
              </w:rPr>
              <w:t>7.2 ±0.77</w:t>
            </w:r>
          </w:p>
        </w:tc>
      </w:tr>
    </w:tbl>
    <w:p w:rsidR="00040642" w:rsidRPr="00E33E31" w:rsidRDefault="00040642" w:rsidP="00040642">
      <w:pPr>
        <w:spacing w:line="252" w:lineRule="auto"/>
        <w:ind w:firstLine="202"/>
        <w:jc w:val="both"/>
        <w:rPr>
          <w:bCs/>
        </w:rPr>
        <w:sectPr w:rsidR="00040642" w:rsidRPr="00E33E31" w:rsidSect="00040642">
          <w:type w:val="continuous"/>
          <w:pgSz w:w="12240" w:h="15840" w:code="1"/>
          <w:pgMar w:top="1008" w:right="936" w:bottom="1008" w:left="936" w:header="432" w:footer="432" w:gutter="0"/>
          <w:cols w:space="288"/>
        </w:sectPr>
      </w:pPr>
    </w:p>
    <w:p w:rsidR="00040642" w:rsidRPr="00E33E31" w:rsidRDefault="00040642" w:rsidP="00D55901">
      <w:pPr>
        <w:ind w:firstLine="204"/>
        <w:jc w:val="both"/>
        <w:rPr>
          <w:color w:val="000000"/>
          <w:sz w:val="16"/>
          <w:szCs w:val="16"/>
        </w:rPr>
      </w:pPr>
      <w:r w:rsidRPr="00E33E31">
        <w:rPr>
          <w:color w:val="000000"/>
          <w:sz w:val="16"/>
          <w:szCs w:val="16"/>
        </w:rPr>
        <w:lastRenderedPageBreak/>
        <w:t>BBS: Berg Balance Scale, TUG: Timed-Up and Go test, SC: Stair Climbing test, (s): seconds</w:t>
      </w:r>
    </w:p>
    <w:p w:rsidR="00040642" w:rsidRPr="00E33E31" w:rsidRDefault="00040642" w:rsidP="00D55901">
      <w:pPr>
        <w:ind w:firstLine="204"/>
        <w:jc w:val="both"/>
        <w:rPr>
          <w:color w:val="000000"/>
          <w:sz w:val="16"/>
          <w:szCs w:val="16"/>
        </w:rPr>
      </w:pPr>
      <w:r w:rsidRPr="00E33E31">
        <w:rPr>
          <w:color w:val="000000"/>
          <w:sz w:val="16"/>
          <w:szCs w:val="16"/>
        </w:rPr>
        <w:t xml:space="preserve">Pre I: Eight weeks pre-operatively, Pre II: four weeks pre-operatively, Post I: four weeks post-operatively, and Post II: Eight weeks post-operatively </w:t>
      </w:r>
    </w:p>
    <w:p w:rsidR="00040642" w:rsidRPr="00E33E31" w:rsidRDefault="00040642" w:rsidP="00D55901">
      <w:pPr>
        <w:ind w:firstLine="204"/>
        <w:jc w:val="both"/>
        <w:rPr>
          <w:bCs/>
        </w:rPr>
      </w:pPr>
      <w:r w:rsidRPr="00E33E31">
        <w:rPr>
          <w:color w:val="000000"/>
          <w:sz w:val="16"/>
          <w:szCs w:val="16"/>
        </w:rPr>
        <w:t>Group I: Cruciate Retaining Total Knee Arthroplasty, Group II: Posterior Stabilized Total Knee Arthroplasty, Group III: Unicompartmental Knee Arthroplasty, and Group IV: Control Group</w:t>
      </w:r>
    </w:p>
    <w:p w:rsidR="00040642" w:rsidRPr="00E33E31" w:rsidRDefault="00040642" w:rsidP="007E5412">
      <w:pPr>
        <w:spacing w:line="252" w:lineRule="auto"/>
        <w:ind w:firstLine="202"/>
        <w:jc w:val="both"/>
        <w:rPr>
          <w:bCs/>
        </w:rPr>
        <w:sectPr w:rsidR="00040642" w:rsidRPr="00E33E31" w:rsidSect="00040642">
          <w:headerReference w:type="default" r:id="rId8"/>
          <w:footerReference w:type="even" r:id="rId9"/>
          <w:footerReference w:type="default" r:id="rId10"/>
          <w:type w:val="continuous"/>
          <w:pgSz w:w="12240" w:h="15840" w:code="1"/>
          <w:pgMar w:top="1008" w:right="936" w:bottom="1008" w:left="936" w:header="432" w:footer="432" w:gutter="0"/>
          <w:cols w:space="288"/>
        </w:sectPr>
      </w:pPr>
    </w:p>
    <w:p w:rsidR="004057A0" w:rsidRPr="00D70ED0" w:rsidRDefault="004057A0" w:rsidP="007E5412">
      <w:pPr>
        <w:spacing w:line="252" w:lineRule="auto"/>
        <w:ind w:firstLine="202"/>
        <w:jc w:val="both"/>
        <w:rPr>
          <w:bCs/>
          <w:sz w:val="18"/>
        </w:rPr>
      </w:pPr>
    </w:p>
    <w:p w:rsidR="00D55901" w:rsidRPr="00D70ED0" w:rsidRDefault="00D55901" w:rsidP="00B64670">
      <w:pPr>
        <w:spacing w:line="252" w:lineRule="auto"/>
        <w:jc w:val="both"/>
        <w:rPr>
          <w:bCs/>
          <w:sz w:val="18"/>
        </w:rPr>
        <w:sectPr w:rsidR="00D55901" w:rsidRPr="00D70ED0" w:rsidSect="00D55901">
          <w:type w:val="continuous"/>
          <w:pgSz w:w="12240" w:h="15840" w:code="1"/>
          <w:pgMar w:top="1008" w:right="936" w:bottom="1008" w:left="936" w:header="432" w:footer="432" w:gutter="0"/>
          <w:cols w:space="288"/>
        </w:sectPr>
      </w:pPr>
    </w:p>
    <w:p w:rsidR="00266994" w:rsidRDefault="00266994" w:rsidP="007257C6">
      <w:pPr>
        <w:spacing w:line="252" w:lineRule="auto"/>
        <w:ind w:firstLine="204"/>
        <w:jc w:val="both"/>
        <w:rPr>
          <w:bCs/>
        </w:rPr>
      </w:pPr>
      <w:r w:rsidRPr="00E33E31">
        <w:rPr>
          <w:bCs/>
        </w:rPr>
        <w:lastRenderedPageBreak/>
        <w:t xml:space="preserve">Considering pain assessment, the WOMAC pain subscale scores increased significantly (p&lt;0.05) in the post1 compared </w:t>
      </w:r>
      <w:r>
        <w:rPr>
          <w:bCs/>
        </w:rPr>
        <w:t>with the pre1, pre2, and post2 measurements in groups I and II.</w:t>
      </w:r>
    </w:p>
    <w:p w:rsidR="007257C6" w:rsidRDefault="002B7439" w:rsidP="007257C6">
      <w:pPr>
        <w:spacing w:line="252" w:lineRule="auto"/>
        <w:ind w:firstLine="204"/>
        <w:jc w:val="both"/>
      </w:pPr>
      <w:r w:rsidRPr="00E33E31">
        <w:rPr>
          <w:bCs/>
        </w:rPr>
        <w:t>However, there were significant (p&lt;0.05) decreases in the post2 compared with the pre1, pre2 and post1 measurements in the three experimental groups. Finally, there were significant (p&lt;0.05) decreases in each of post1 and post2</w:t>
      </w:r>
      <w:r>
        <w:rPr>
          <w:bCs/>
        </w:rPr>
        <w:t xml:space="preserve"> </w:t>
      </w:r>
      <w:r w:rsidR="00B64670" w:rsidRPr="00E33E31">
        <w:rPr>
          <w:bCs/>
        </w:rPr>
        <w:t>compared with pre1 and pre2 measurements in the control group</w:t>
      </w:r>
      <w:r w:rsidR="00B64670">
        <w:rPr>
          <w:bCs/>
        </w:rPr>
        <w:t>.</w:t>
      </w:r>
      <w:r w:rsidR="00B64670" w:rsidRPr="00E33E31">
        <w:t xml:space="preserve"> </w:t>
      </w:r>
    </w:p>
    <w:p w:rsidR="00040642" w:rsidRPr="007257C6" w:rsidRDefault="00040642" w:rsidP="007257C6">
      <w:pPr>
        <w:spacing w:line="252" w:lineRule="auto"/>
        <w:ind w:firstLine="204"/>
        <w:jc w:val="both"/>
      </w:pPr>
      <w:r w:rsidRPr="00E33E31">
        <w:t>Considering the between-subject effect, it revealed that</w:t>
      </w:r>
      <w:r w:rsidR="008875D0" w:rsidRPr="00E33E31">
        <w:t xml:space="preserve"> </w:t>
      </w:r>
      <w:r w:rsidRPr="00E33E31">
        <w:rPr>
          <w:lang w:val="en-GB" w:bidi="ar-EG"/>
        </w:rPr>
        <w:t xml:space="preserve">group III had significantly </w:t>
      </w:r>
      <w:r w:rsidRPr="00E33E31">
        <w:rPr>
          <w:bCs/>
        </w:rPr>
        <w:t xml:space="preserve">(p≤0.001) </w:t>
      </w:r>
      <w:r w:rsidRPr="00E33E31">
        <w:rPr>
          <w:lang w:val="en-GB" w:bidi="ar-EG"/>
        </w:rPr>
        <w:t xml:space="preserve">increased BBS score, decreased TUG and SC time and decreased WOMAC pain scores compared with group I and II four and eight weeks post-operatively. Meanwhile, group IV had significantly </w:t>
      </w:r>
      <w:r w:rsidRPr="00E33E31">
        <w:rPr>
          <w:bCs/>
        </w:rPr>
        <w:t xml:space="preserve">(p≤0.009) </w:t>
      </w:r>
      <w:r w:rsidRPr="00E33E31">
        <w:rPr>
          <w:lang w:val="en-GB" w:bidi="ar-EG"/>
        </w:rPr>
        <w:t>increased BBS score, decreased TUG and SC time and decreased WOMAC pain scores compared with group I, II and III four weeks post-operatively.</w:t>
      </w:r>
    </w:p>
    <w:p w:rsidR="00040642" w:rsidRPr="00E33E31" w:rsidRDefault="00040642" w:rsidP="007257C6">
      <w:pPr>
        <w:spacing w:line="252" w:lineRule="auto"/>
        <w:ind w:firstLine="204"/>
        <w:jc w:val="both"/>
        <w:rPr>
          <w:lang w:val="en-GB" w:bidi="ar-EG"/>
        </w:rPr>
      </w:pPr>
      <w:r w:rsidRPr="00E33E31">
        <w:rPr>
          <w:lang w:val="en-GB" w:bidi="ar-EG"/>
        </w:rPr>
        <w:t xml:space="preserve">In contrast to the results reported four weeks post-operatively, group IV had significantly </w:t>
      </w:r>
      <w:r w:rsidRPr="00E33E31">
        <w:rPr>
          <w:bCs/>
        </w:rPr>
        <w:t>(p&lt;0.05)</w:t>
      </w:r>
      <w:r w:rsidR="008875D0" w:rsidRPr="00E33E31">
        <w:rPr>
          <w:bCs/>
        </w:rPr>
        <w:t xml:space="preserve"> </w:t>
      </w:r>
      <w:r w:rsidRPr="00E33E31">
        <w:rPr>
          <w:lang w:val="en-GB" w:bidi="ar-EG"/>
        </w:rPr>
        <w:t xml:space="preserve">decreased BBS score, increased TUG and SC time and increased WOMAC pain scores compared with group I, II and III eight weeks post-operatively. Finally, group I had significantly </w:t>
      </w:r>
      <w:r w:rsidRPr="00E33E31">
        <w:rPr>
          <w:bCs/>
        </w:rPr>
        <w:t>(p&lt;0.05)</w:t>
      </w:r>
      <w:r w:rsidR="008875D0" w:rsidRPr="00E33E31">
        <w:rPr>
          <w:bCs/>
        </w:rPr>
        <w:t xml:space="preserve"> </w:t>
      </w:r>
      <w:r w:rsidRPr="00E33E31">
        <w:rPr>
          <w:lang w:val="en-GB" w:bidi="ar-EG"/>
        </w:rPr>
        <w:t>decreased SC time and WOMAC pain scores compared with group II eight weeks post-operatively. Table I shows the mean±SD scores for the BBS, TUG and SC tests and WOMAC pain subscale in the tested four groups pre- and post-operatively.</w:t>
      </w:r>
    </w:p>
    <w:p w:rsidR="00040642" w:rsidRPr="00E33E31" w:rsidRDefault="00040642" w:rsidP="00266994">
      <w:pPr>
        <w:pStyle w:val="Heading1"/>
        <w:spacing w:after="0" w:line="252" w:lineRule="auto"/>
        <w:ind w:firstLine="202"/>
      </w:pPr>
      <w:r w:rsidRPr="00E33E31">
        <w:t>Discussion</w:t>
      </w:r>
    </w:p>
    <w:p w:rsidR="00040642" w:rsidRPr="00E33E31" w:rsidRDefault="00040642" w:rsidP="007257C6">
      <w:pPr>
        <w:spacing w:line="252" w:lineRule="auto"/>
        <w:ind w:firstLine="204"/>
        <w:jc w:val="both"/>
      </w:pPr>
      <w:r w:rsidRPr="00E33E31">
        <w:t xml:space="preserve">The within-subject findings revealed that there were significant decreases in the BBS scores, and increases in the TUG and SC time four weeks post-operatively compared with </w:t>
      </w:r>
      <w:r w:rsidR="00112CD5">
        <w:lastRenderedPageBreak/>
        <w:t>the three other assessments in the three experimental groups. This decline in dynamic balance and functional performance</w:t>
      </w:r>
      <w:r w:rsidR="007257C6">
        <w:t xml:space="preserve"> </w:t>
      </w:r>
      <w:r w:rsidRPr="00E33E31">
        <w:t xml:space="preserve">may be related to </w:t>
      </w:r>
      <w:r w:rsidRPr="00E33E31">
        <w:rPr>
          <w:bCs/>
        </w:rPr>
        <w:t>joint effusion, and removal of the affected articulating surfaces of the knee joint and replacing them with artificial components suitable for each patient which affects proprioception [5</w:t>
      </w:r>
      <w:r w:rsidR="00CD0EEA" w:rsidRPr="00E33E31">
        <w:rPr>
          <w:bCs/>
        </w:rPr>
        <w:t>5</w:t>
      </w:r>
      <w:r w:rsidRPr="00E33E31">
        <w:rPr>
          <w:bCs/>
        </w:rPr>
        <w:t>].</w:t>
      </w:r>
      <w:r w:rsidR="00D53061" w:rsidRPr="00E33E31">
        <w:rPr>
          <w:bCs/>
        </w:rPr>
        <w:t xml:space="preserve"> </w:t>
      </w:r>
      <w:r w:rsidRPr="00E33E31">
        <w:t>The decline in functional performance four weeks post-operatively is supported by the findings reported by [5</w:t>
      </w:r>
      <w:r w:rsidR="00CD0EEA" w:rsidRPr="00E33E31">
        <w:t>6</w:t>
      </w:r>
      <w:r w:rsidRPr="00E33E31">
        <w:t>], [5</w:t>
      </w:r>
      <w:r w:rsidR="00CD0EEA" w:rsidRPr="00E33E31">
        <w:t>7</w:t>
      </w:r>
      <w:r w:rsidRPr="00E33E31">
        <w:t xml:space="preserve">], however, it should be noted that they examined patients with TKA only. </w:t>
      </w:r>
    </w:p>
    <w:p w:rsidR="00040642" w:rsidRPr="00E33E31" w:rsidRDefault="00040642" w:rsidP="007257C6">
      <w:pPr>
        <w:spacing w:line="252" w:lineRule="auto"/>
        <w:ind w:firstLine="204"/>
        <w:jc w:val="both"/>
        <w:rPr>
          <w:b/>
          <w:bCs/>
        </w:rPr>
      </w:pPr>
      <w:r w:rsidRPr="00E33E31">
        <w:t>The decline in dynamic balance and functional performance four weeks post-operatively was further associated with a significant increase in the WOMAC pain scores, indicating pain worsening, compared with the three other assessments. This occurred in group</w:t>
      </w:r>
      <w:r w:rsidR="007257C6">
        <w:t>s</w:t>
      </w:r>
      <w:r w:rsidRPr="00E33E31">
        <w:t xml:space="preserve"> I and II only.</w:t>
      </w:r>
      <w:r w:rsidR="00AA6CE1">
        <w:t xml:space="preserve"> </w:t>
      </w:r>
    </w:p>
    <w:p w:rsidR="007257C6" w:rsidRDefault="00040642" w:rsidP="007257C6">
      <w:pPr>
        <w:spacing w:line="252" w:lineRule="auto"/>
        <w:ind w:firstLine="204"/>
        <w:jc w:val="both"/>
      </w:pPr>
      <w:r w:rsidRPr="00E33E31">
        <w:t>As opposed to the findings reported four weeks post-operatively, the statistical analysis revealed that there were significant increases in the BBS scores, decreases in the TUG and SC time, and decreases in WOMAC pain scores eight weeks post-operatively in the three experimental groups compared with the other three assessments. This improvement may be due to the corrected knee deformity and regained normal alignment, and removal of osteophytic lippings [5</w:t>
      </w:r>
      <w:r w:rsidR="00CD0EEA" w:rsidRPr="00E33E31">
        <w:t>5</w:t>
      </w:r>
      <w:r w:rsidRPr="00E33E31">
        <w:t>]. Similar findings were reported by [4</w:t>
      </w:r>
      <w:r w:rsidR="00CD0EEA" w:rsidRPr="00E33E31">
        <w:t>5</w:t>
      </w:r>
      <w:r w:rsidRPr="00E33E31">
        <w:t>], [5</w:t>
      </w:r>
      <w:r w:rsidR="00CD0EEA" w:rsidRPr="00E33E31">
        <w:t>8</w:t>
      </w:r>
      <w:r w:rsidRPr="00E33E31">
        <w:t>], [5</w:t>
      </w:r>
      <w:r w:rsidR="00CD0EEA" w:rsidRPr="00E33E31">
        <w:t>9</w:t>
      </w:r>
      <w:r w:rsidRPr="00E33E31">
        <w:t>] although assessment was conducted at different time intervals. Reference [4</w:t>
      </w:r>
      <w:r w:rsidR="00CD0EEA" w:rsidRPr="00E33E31">
        <w:t>5</w:t>
      </w:r>
      <w:r w:rsidRPr="00E33E31">
        <w:t>] reported significant improvement in both dynamic balance and postural control 12 months post-operatively. Both balance and postural control were assessed using computerized posturography. In the same context, [5</w:t>
      </w:r>
      <w:r w:rsidR="00CD0EEA" w:rsidRPr="00E33E31">
        <w:t>8</w:t>
      </w:r>
      <w:r w:rsidRPr="00E33E31">
        <w:t>] found that their patients who had TKA performed significantly better on the SC test, but not on the TUG, 12 months compared with 3 months post-operatively. Finally, [5</w:t>
      </w:r>
      <w:r w:rsidR="00CD0EEA" w:rsidRPr="00E33E31">
        <w:t>9</w:t>
      </w:r>
      <w:r w:rsidRPr="00E33E31">
        <w:t>] assessed functional performance at several time intervals. They used the Lower Extremity Functional Scale and the 6-</w:t>
      </w:r>
      <w:r w:rsidRPr="00E33E31">
        <w:lastRenderedPageBreak/>
        <w:t>minute walk test for assessment. The greatest improvement occurred in the first 12 weeks post-operatively. Slower improvement continued to occur 12-26 weeks post-operatively with little improvement occurring beyond 26 weeks.</w:t>
      </w:r>
    </w:p>
    <w:p w:rsidR="00040642" w:rsidRPr="00E33E31" w:rsidRDefault="00040642" w:rsidP="007257C6">
      <w:pPr>
        <w:spacing w:line="252" w:lineRule="auto"/>
        <w:ind w:firstLine="204"/>
        <w:jc w:val="both"/>
      </w:pPr>
      <w:r w:rsidRPr="00E33E31">
        <w:t>In particular, the conducted rehabilitation program is strongly suggested to have been responsible for the improvement in perceived pain and performed function. This is evidenced by the findings reported for the control group who showed significant decreases in the TUG and SC time and WOMAC pain scores that were recorded at time intervals similar to the post-operative four and eight weeks for the experimental groups. This occurred after undergoing the same rehabilitation program</w:t>
      </w:r>
      <w:r w:rsidR="00D53061" w:rsidRPr="00E33E31">
        <w:t>s</w:t>
      </w:r>
      <w:r w:rsidRPr="00E33E31">
        <w:t xml:space="preserve"> that w</w:t>
      </w:r>
      <w:r w:rsidR="00D53061" w:rsidRPr="00E33E31">
        <w:t>ere</w:t>
      </w:r>
      <w:r w:rsidRPr="00E33E31">
        <w:t xml:space="preserve"> conducted for the three experimental groups. Similar findings were reported by [</w:t>
      </w:r>
      <w:r w:rsidR="00FD2D99" w:rsidRPr="00E33E31">
        <w:t>53</w:t>
      </w:r>
      <w:r w:rsidRPr="00E33E31">
        <w:t>], [</w:t>
      </w:r>
      <w:r w:rsidR="00FD2D99" w:rsidRPr="00E33E31">
        <w:t>60</w:t>
      </w:r>
      <w:r w:rsidRPr="00E33E31">
        <w:t>]-[</w:t>
      </w:r>
      <w:r w:rsidR="00FD2D99" w:rsidRPr="00E33E31">
        <w:t>63</w:t>
      </w:r>
      <w:r w:rsidRPr="00E33E31">
        <w:t>] who reported that strengthening exercises decrease pain and stiffness and improve self-reported function in individuals with knee OA.</w:t>
      </w:r>
    </w:p>
    <w:p w:rsidR="00040642" w:rsidRPr="00E33E31" w:rsidRDefault="00040642" w:rsidP="007257C6">
      <w:pPr>
        <w:adjustRightInd w:val="0"/>
        <w:spacing w:line="252" w:lineRule="auto"/>
        <w:ind w:firstLine="204"/>
        <w:jc w:val="both"/>
        <w:rPr>
          <w:rFonts w:eastAsiaTheme="minorHAnsi"/>
        </w:rPr>
      </w:pPr>
      <w:r w:rsidRPr="00E33E31">
        <w:t>Regarding the between-subject findings, they revealed that group III had significantly increased BBS scores, decreased TUG and SC time and decreased WOMAC pain scores four and eight weeks post-operatively compared with groups I and II. This might be due to the preservation of the knee joint cruciate ligaments and to the less affection of proprioception with one compartment only</w:t>
      </w:r>
      <w:r w:rsidR="00CA4B0F" w:rsidRPr="00E33E31">
        <w:t xml:space="preserve"> </w:t>
      </w:r>
      <w:r w:rsidRPr="00E33E31">
        <w:t xml:space="preserve">being excised. </w:t>
      </w:r>
      <w:r w:rsidRPr="00E33E31">
        <w:rPr>
          <w:rFonts w:eastAsiaTheme="minorHAnsi"/>
        </w:rPr>
        <w:t>The cruciate ligaments are important for dynamic proprioception. Large loads are exerted across the knee joint during activity. These</w:t>
      </w:r>
      <w:r w:rsidR="00CA4B0F" w:rsidRPr="00E33E31">
        <w:rPr>
          <w:rFonts w:eastAsiaTheme="minorHAnsi"/>
        </w:rPr>
        <w:t xml:space="preserve"> </w:t>
      </w:r>
      <w:r w:rsidRPr="00E33E31">
        <w:rPr>
          <w:rFonts w:eastAsiaTheme="minorHAnsi"/>
        </w:rPr>
        <w:t xml:space="preserve">loads that result from both external loads and muscle forces stretch the ligaments that are involved in dynamic proprioception. Accordingly, after UKA, the cruciate ligaments functions normally whereas after TKA they don’t. This </w:t>
      </w:r>
      <w:r w:rsidR="00CA4B0F" w:rsidRPr="00E33E31">
        <w:rPr>
          <w:rFonts w:eastAsiaTheme="minorHAnsi"/>
        </w:rPr>
        <w:t>wa</w:t>
      </w:r>
      <w:r w:rsidRPr="00E33E31">
        <w:rPr>
          <w:rFonts w:eastAsiaTheme="minorHAnsi"/>
        </w:rPr>
        <w:t>s suggested to be the cause for the better dynamic proprioception</w:t>
      </w:r>
      <w:r w:rsidR="00CA4B0F" w:rsidRPr="00E33E31">
        <w:rPr>
          <w:rFonts w:eastAsiaTheme="minorHAnsi"/>
        </w:rPr>
        <w:t xml:space="preserve"> recorded </w:t>
      </w:r>
      <w:r w:rsidRPr="00E33E31">
        <w:rPr>
          <w:rFonts w:eastAsiaTheme="minorHAnsi"/>
        </w:rPr>
        <w:t>in UKA compared with TKA</w:t>
      </w:r>
      <w:r w:rsidR="00CA4B0F" w:rsidRPr="00E33E31">
        <w:rPr>
          <w:rFonts w:eastAsiaTheme="minorHAnsi"/>
        </w:rPr>
        <w:t xml:space="preserve"> </w:t>
      </w:r>
      <w:r w:rsidR="00610641" w:rsidRPr="00E33E31">
        <w:rPr>
          <w:rFonts w:eastAsiaTheme="minorHAnsi"/>
        </w:rPr>
        <w:t xml:space="preserve">in the study conducted by [8]. The researchers </w:t>
      </w:r>
      <w:r w:rsidR="00CA4B0F" w:rsidRPr="00E33E31">
        <w:rPr>
          <w:rFonts w:eastAsiaTheme="minorHAnsi"/>
        </w:rPr>
        <w:t xml:space="preserve">found that </w:t>
      </w:r>
      <w:r w:rsidR="00CA4B0F" w:rsidRPr="00E33E31">
        <w:rPr>
          <w:bCs/>
        </w:rPr>
        <w:t xml:space="preserve">the postural sway improved in UKA as twice that in TKA, although this was reported 6 months post-operatively </w:t>
      </w:r>
      <w:r w:rsidRPr="00E33E31">
        <w:rPr>
          <w:rFonts w:eastAsiaTheme="minorHAnsi"/>
        </w:rPr>
        <w:t>[8].</w:t>
      </w:r>
      <w:r w:rsidR="00CA4B0F" w:rsidRPr="00E33E31">
        <w:rPr>
          <w:rFonts w:eastAsiaTheme="minorHAnsi"/>
        </w:rPr>
        <w:t xml:space="preserve"> </w:t>
      </w:r>
    </w:p>
    <w:p w:rsidR="00040642" w:rsidRPr="00E33E31" w:rsidRDefault="00040642" w:rsidP="007257C6">
      <w:pPr>
        <w:spacing w:line="252" w:lineRule="auto"/>
        <w:ind w:firstLine="204"/>
        <w:jc w:val="both"/>
        <w:rPr>
          <w:rFonts w:eastAsia="SMinionPlus"/>
          <w:bCs/>
        </w:rPr>
      </w:pPr>
      <w:r w:rsidRPr="00E33E31">
        <w:rPr>
          <w:bCs/>
        </w:rPr>
        <w:t>On another regard, the findings revealed that group</w:t>
      </w:r>
      <w:r w:rsidR="007257C6">
        <w:rPr>
          <w:bCs/>
        </w:rPr>
        <w:t xml:space="preserve"> </w:t>
      </w:r>
      <w:r w:rsidRPr="00E33E31">
        <w:rPr>
          <w:bCs/>
        </w:rPr>
        <w:t>I had significantly decreased SC time and WOMAC pain scores eight weeks post-operatively compared with group</w:t>
      </w:r>
      <w:r w:rsidR="007257C6">
        <w:rPr>
          <w:bCs/>
        </w:rPr>
        <w:t xml:space="preserve"> </w:t>
      </w:r>
      <w:r w:rsidRPr="00E33E31">
        <w:rPr>
          <w:bCs/>
        </w:rPr>
        <w:t>II with no significant difference in</w:t>
      </w:r>
      <w:r w:rsidR="007257C6">
        <w:rPr>
          <w:bCs/>
        </w:rPr>
        <w:t xml:space="preserve"> </w:t>
      </w:r>
      <w:r w:rsidRPr="00E33E31">
        <w:rPr>
          <w:bCs/>
        </w:rPr>
        <w:t>between for the dynamic balance. This might be related to the preserved PCL in group</w:t>
      </w:r>
      <w:r w:rsidR="007257C6">
        <w:rPr>
          <w:bCs/>
        </w:rPr>
        <w:t xml:space="preserve"> </w:t>
      </w:r>
      <w:r w:rsidRPr="00E33E31">
        <w:rPr>
          <w:bCs/>
        </w:rPr>
        <w:t>I. The PCL is needed for ascending and descending stairs as it controls and prevents excessive backward rolling of the femur. Accordingly, its absence is accompanied with excessive rolling with an increased demand on the quadriceps muscle especially after 45° flexion [</w:t>
      </w:r>
      <w:r w:rsidR="00FD2D99" w:rsidRPr="00E33E31">
        <w:rPr>
          <w:bCs/>
        </w:rPr>
        <w:t>64</w:t>
      </w:r>
      <w:r w:rsidRPr="00E33E31">
        <w:rPr>
          <w:bCs/>
        </w:rPr>
        <w:t>]. The insignificant difference between group</w:t>
      </w:r>
      <w:r w:rsidR="007257C6">
        <w:rPr>
          <w:bCs/>
        </w:rPr>
        <w:t>s</w:t>
      </w:r>
      <w:r w:rsidRPr="00E33E31">
        <w:rPr>
          <w:bCs/>
        </w:rPr>
        <w:t xml:space="preserve"> I and II for the dynamic balance matches with the findings reported by [</w:t>
      </w:r>
      <w:r w:rsidR="00FD2D99" w:rsidRPr="00E33E31">
        <w:rPr>
          <w:bCs/>
        </w:rPr>
        <w:t>30</w:t>
      </w:r>
      <w:r w:rsidRPr="00E33E31">
        <w:rPr>
          <w:bCs/>
        </w:rPr>
        <w:t>], [</w:t>
      </w:r>
      <w:r w:rsidR="00FD2D99" w:rsidRPr="00E33E31">
        <w:rPr>
          <w:bCs/>
        </w:rPr>
        <w:t>34</w:t>
      </w:r>
      <w:r w:rsidRPr="00E33E31">
        <w:rPr>
          <w:bCs/>
        </w:rPr>
        <w:t>], [</w:t>
      </w:r>
      <w:r w:rsidR="00FD2D99" w:rsidRPr="00E33E31">
        <w:rPr>
          <w:bCs/>
        </w:rPr>
        <w:t>41</w:t>
      </w:r>
      <w:r w:rsidRPr="00E33E31">
        <w:rPr>
          <w:bCs/>
        </w:rPr>
        <w:t>]. However, the significant difference reported for the pain and functional performance is opposed by the finding reported by [6</w:t>
      </w:r>
      <w:r w:rsidR="00FD2D99" w:rsidRPr="00E33E31">
        <w:rPr>
          <w:bCs/>
        </w:rPr>
        <w:t>5</w:t>
      </w:r>
      <w:r w:rsidRPr="00E33E31">
        <w:rPr>
          <w:bCs/>
        </w:rPr>
        <w:t xml:space="preserve">].The opposition may be related to the different tested sample and scale. They tested patients having CR TKA in one limb and PS TKA in the other and they used the Knee Society scale for assessing performance. </w:t>
      </w:r>
    </w:p>
    <w:p w:rsidR="00040642" w:rsidRPr="00E33E31" w:rsidRDefault="00040642" w:rsidP="007257C6">
      <w:pPr>
        <w:adjustRightInd w:val="0"/>
        <w:spacing w:line="252" w:lineRule="auto"/>
        <w:ind w:firstLine="204"/>
        <w:jc w:val="both"/>
      </w:pPr>
      <w:r w:rsidRPr="00E33E31">
        <w:t xml:space="preserve">Finally, findings revealed that the three experimental groups had significantly increased BBS scores, decreased TUG and SC time, and decreased WOMAC pain scores eight weeks post-operatively compared with the control one with the </w:t>
      </w:r>
      <w:r w:rsidRPr="00E33E31">
        <w:lastRenderedPageBreak/>
        <w:t>opposite being true four weeks post-operatively. The recorded eight-week post-operative improvement might be again related to the corrected knee deformity and regained normal alignment, and removal of osteophytic lippings [5</w:t>
      </w:r>
      <w:r w:rsidR="00FD2D99" w:rsidRPr="00E33E31">
        <w:t>5</w:t>
      </w:r>
      <w:r w:rsidRPr="00E33E31">
        <w:t>].</w:t>
      </w:r>
      <w:r w:rsidR="00AA6CE1">
        <w:t xml:space="preserve"> </w:t>
      </w:r>
    </w:p>
    <w:p w:rsidR="00040642" w:rsidRPr="00E33E31" w:rsidRDefault="00D55901" w:rsidP="00D55901">
      <w:pPr>
        <w:pStyle w:val="Style2"/>
      </w:pPr>
      <w:r>
        <w:t xml:space="preserve"> </w:t>
      </w:r>
      <w:r w:rsidRPr="00E33E31">
        <w:t>Conclusion</w:t>
      </w:r>
    </w:p>
    <w:p w:rsidR="00040642" w:rsidRPr="00E33E31" w:rsidRDefault="00040642" w:rsidP="007257C6">
      <w:pPr>
        <w:spacing w:line="252" w:lineRule="auto"/>
        <w:ind w:firstLine="204"/>
        <w:jc w:val="both"/>
        <w:rPr>
          <w:lang w:val="en-GB" w:bidi="ar-EG"/>
        </w:rPr>
      </w:pPr>
      <w:r w:rsidRPr="00E33E31">
        <w:rPr>
          <w:lang w:val="en-GB" w:bidi="ar-EG"/>
        </w:rPr>
        <w:t>CRTKA is preferable to PSTKA with UKA being generally superior to TKA, possibly due to the preserved human proprioceptors in the un-excised compartmental articular surface.</w:t>
      </w:r>
    </w:p>
    <w:p w:rsidR="00040642" w:rsidRPr="00E33E31" w:rsidRDefault="00040642" w:rsidP="00D55901">
      <w:pPr>
        <w:pStyle w:val="Style2"/>
        <w:numPr>
          <w:ilvl w:val="0"/>
          <w:numId w:val="0"/>
        </w:numPr>
      </w:pPr>
      <w:r w:rsidRPr="00E33E31">
        <w:t>Acknowledgment</w:t>
      </w:r>
    </w:p>
    <w:p w:rsidR="00040642" w:rsidRPr="00E33E31" w:rsidRDefault="00040642" w:rsidP="007257C6">
      <w:pPr>
        <w:pStyle w:val="Text"/>
        <w:ind w:firstLine="204"/>
      </w:pPr>
      <w:r w:rsidRPr="00E33E31">
        <w:t xml:space="preserve">The authors would like to thank all the patients who participated in the study. </w:t>
      </w:r>
    </w:p>
    <w:p w:rsidR="00040642" w:rsidRPr="00E33E31" w:rsidRDefault="00040642" w:rsidP="00D55901">
      <w:pPr>
        <w:pStyle w:val="Style2"/>
        <w:numPr>
          <w:ilvl w:val="0"/>
          <w:numId w:val="0"/>
        </w:numPr>
      </w:pPr>
      <w:r w:rsidRPr="00E33E31">
        <w:t>References</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D. J. Hunter, J. J. McDougall, and F. J. Keefe, “The symptoms of osteoarthritis and the genesis of pain,” </w:t>
      </w:r>
      <w:r w:rsidRPr="00D55901">
        <w:rPr>
          <w:rFonts w:ascii="Times New Roman" w:hAnsi="Times New Roman"/>
          <w:i/>
          <w:iCs/>
          <w:sz w:val="16"/>
          <w:szCs w:val="16"/>
        </w:rPr>
        <w:t>Med. Clin. North Am</w:t>
      </w:r>
      <w:r w:rsidRPr="00D55901">
        <w:rPr>
          <w:rFonts w:ascii="Times New Roman" w:hAnsi="Times New Roman"/>
          <w:sz w:val="16"/>
          <w:szCs w:val="16"/>
        </w:rPr>
        <w:t xml:space="preserve">, vol. 93, no. 1, pp. 83-100, Jan. 2009.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D. Diracoglu, R. Aydin, A. Baskent, and A. Celik,</w:t>
      </w:r>
      <w:r w:rsidRPr="00D55901">
        <w:rPr>
          <w:rFonts w:ascii="Times New Roman" w:hAnsi="Times New Roman"/>
          <w:b/>
          <w:bCs/>
          <w:sz w:val="16"/>
          <w:szCs w:val="16"/>
        </w:rPr>
        <w:t xml:space="preserve"> “</w:t>
      </w:r>
      <w:r w:rsidRPr="00D55901">
        <w:rPr>
          <w:rFonts w:ascii="Times New Roman" w:hAnsi="Times New Roman"/>
          <w:sz w:val="16"/>
          <w:szCs w:val="16"/>
        </w:rPr>
        <w:t xml:space="preserve">Effects of kinesthesia and balance exercises in knee osteoarthritis,” </w:t>
      </w:r>
      <w:r w:rsidRPr="00D55901">
        <w:rPr>
          <w:rFonts w:ascii="Times New Roman" w:hAnsi="Times New Roman"/>
          <w:i/>
          <w:iCs/>
          <w:sz w:val="16"/>
          <w:szCs w:val="16"/>
        </w:rPr>
        <w:t>J. Clin. Rheumatol</w:t>
      </w:r>
      <w:r w:rsidRPr="00D55901">
        <w:rPr>
          <w:rFonts w:ascii="Times New Roman" w:hAnsi="Times New Roman"/>
          <w:sz w:val="16"/>
          <w:szCs w:val="16"/>
        </w:rPr>
        <w:t>, vol. 11, no. 6, pp. 303-310, Dec. 2005.</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M. F. Pisters, C. Veenhof, L. U. N. L. van Meeteren, R. W. Ostelo, D. H. de Bakker, et al., “Long-term effectiveness of exercise therapy in patients with osteoarthritis of the hip or knee: a systematic review,” </w:t>
      </w:r>
      <w:r w:rsidRPr="00D55901">
        <w:rPr>
          <w:rFonts w:ascii="Times New Roman" w:hAnsi="Times New Roman"/>
          <w:i/>
          <w:iCs/>
          <w:sz w:val="16"/>
          <w:szCs w:val="16"/>
        </w:rPr>
        <w:t>Arthritis Rheum</w:t>
      </w:r>
      <w:r w:rsidRPr="00D55901">
        <w:rPr>
          <w:rFonts w:ascii="Times New Roman" w:hAnsi="Times New Roman"/>
          <w:sz w:val="16"/>
          <w:szCs w:val="16"/>
        </w:rPr>
        <w:t>, vol. 57, no. 7, pp. 1245-1253, Oct. 2007.</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P. W. Stratford, D. M. Kennedy, and L. J. Woodhouse, “Performance measures provide assessments of pain and function in people with advanced osteoarthritis of the hip or knee,” </w:t>
      </w:r>
      <w:r w:rsidRPr="00D55901">
        <w:rPr>
          <w:rFonts w:ascii="Times New Roman" w:hAnsi="Times New Roman"/>
          <w:i/>
          <w:iCs/>
          <w:sz w:val="16"/>
          <w:szCs w:val="16"/>
        </w:rPr>
        <w:t>Phys. Ther</w:t>
      </w:r>
      <w:r w:rsidRPr="00D55901">
        <w:rPr>
          <w:rFonts w:ascii="Times New Roman" w:hAnsi="Times New Roman"/>
          <w:sz w:val="16"/>
          <w:szCs w:val="16"/>
        </w:rPr>
        <w:t>, vol. 86, no. 11, pp. 1489-1496, Nov. 2006.</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J. P. Leigh, W. Seavey, and B. Leistikow, “Estimating the costs of job related arthritis,” </w:t>
      </w:r>
      <w:r w:rsidRPr="00D55901">
        <w:rPr>
          <w:rFonts w:ascii="Times New Roman" w:hAnsi="Times New Roman"/>
          <w:i/>
          <w:iCs/>
          <w:sz w:val="16"/>
          <w:szCs w:val="16"/>
        </w:rPr>
        <w:t>J. Rheumatol</w:t>
      </w:r>
      <w:r w:rsidRPr="00D55901">
        <w:rPr>
          <w:rFonts w:ascii="Times New Roman" w:hAnsi="Times New Roman"/>
          <w:sz w:val="16"/>
          <w:szCs w:val="16"/>
        </w:rPr>
        <w:t>, vol. 28, no. 7, pp. 1647-1654, Jul. 2001.</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Y. Zhang, and J. M. Jordan, “Epidemiology of osteoarthritis,” </w:t>
      </w:r>
      <w:r w:rsidRPr="00D55901">
        <w:rPr>
          <w:rFonts w:ascii="Times New Roman" w:hAnsi="Times New Roman"/>
          <w:i/>
          <w:iCs/>
          <w:sz w:val="16"/>
          <w:szCs w:val="16"/>
        </w:rPr>
        <w:t>Clin. Geriatr. Med</w:t>
      </w:r>
      <w:r w:rsidRPr="00D55901">
        <w:rPr>
          <w:rFonts w:ascii="Times New Roman" w:hAnsi="Times New Roman"/>
          <w:sz w:val="16"/>
          <w:szCs w:val="16"/>
        </w:rPr>
        <w:t>, vol. 26, no. 3, pp. 355-369, Aug. 2010.</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D. S. Rooks, J. Huang, B. E. Bierbaum, S. A. Bolus, J. Rubano, et al., “Effect of preoperative exercise on measures of functional status in men and women undergoing total hip and knee arthroplasty,” </w:t>
      </w:r>
      <w:r w:rsidRPr="00D55901">
        <w:rPr>
          <w:rFonts w:ascii="Times New Roman" w:hAnsi="Times New Roman"/>
          <w:i/>
          <w:iCs/>
          <w:sz w:val="16"/>
          <w:szCs w:val="16"/>
        </w:rPr>
        <w:t>Arthitis Rheum</w:t>
      </w:r>
      <w:r w:rsidRPr="00D55901">
        <w:rPr>
          <w:rFonts w:ascii="Times New Roman" w:hAnsi="Times New Roman"/>
          <w:sz w:val="16"/>
          <w:szCs w:val="16"/>
        </w:rPr>
        <w:t xml:space="preserve">, vol. 55, no. 5, pp. 700-708, Oct. 2006.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S. M. Isaac, K. L. Barker, I. N. Danial, D. J. Beard, C. A. Dodd, et al., “Does arthroplasty type influence knee joint proprioception? A longitudinal prospective study comparing total and unicompartmental arthroplasty,” </w:t>
      </w:r>
      <w:r w:rsidRPr="00D55901">
        <w:rPr>
          <w:rFonts w:ascii="Times New Roman" w:hAnsi="Times New Roman"/>
          <w:i/>
          <w:iCs/>
          <w:sz w:val="16"/>
          <w:szCs w:val="16"/>
        </w:rPr>
        <w:t>Knee</w:t>
      </w:r>
      <w:r w:rsidRPr="00D55901">
        <w:rPr>
          <w:rFonts w:ascii="Times New Roman" w:hAnsi="Times New Roman"/>
          <w:sz w:val="16"/>
          <w:szCs w:val="16"/>
        </w:rPr>
        <w:t>, vol. 14, no. 3, pp. 212-217, Jun. 2007.</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G. S. Gill, and A. B. Joshi, </w:t>
      </w:r>
      <w:r w:rsidRPr="00D55901">
        <w:rPr>
          <w:rFonts w:ascii="Times New Roman" w:hAnsi="Times New Roman"/>
          <w:b/>
          <w:bCs/>
          <w:sz w:val="16"/>
          <w:szCs w:val="16"/>
        </w:rPr>
        <w:t>“</w:t>
      </w:r>
      <w:r w:rsidRPr="00D55901">
        <w:rPr>
          <w:rFonts w:ascii="Times New Roman" w:hAnsi="Times New Roman"/>
          <w:bCs/>
          <w:sz w:val="16"/>
          <w:szCs w:val="16"/>
        </w:rPr>
        <w:t xml:space="preserve">Long-term results of cemented, posterior cruciate ligament-retaining total knee arthroplasty in osteoarthritis,” </w:t>
      </w:r>
      <w:r w:rsidRPr="00D55901">
        <w:rPr>
          <w:rFonts w:ascii="Times New Roman" w:hAnsi="Times New Roman"/>
          <w:bCs/>
          <w:i/>
          <w:iCs/>
          <w:sz w:val="16"/>
          <w:szCs w:val="16"/>
        </w:rPr>
        <w:t>Am. J. Knee Surg</w:t>
      </w:r>
      <w:r w:rsidRPr="00D55901">
        <w:rPr>
          <w:rFonts w:ascii="Times New Roman" w:hAnsi="Times New Roman"/>
          <w:bCs/>
          <w:sz w:val="16"/>
          <w:szCs w:val="16"/>
        </w:rPr>
        <w:t xml:space="preserve">, vol. 14, no. 4, pp. 209-214, Fall 2001.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A. Konig, M. Walther, S. Kirschner, and F. Gohlke, “Balance sheets of knee and functional scores 5 years after total knee arthroplasty for osteoarthritis: a source for patient information,” </w:t>
      </w:r>
      <w:r w:rsidRPr="00D55901">
        <w:rPr>
          <w:rFonts w:ascii="Times New Roman" w:hAnsi="Times New Roman"/>
          <w:i/>
          <w:iCs/>
          <w:sz w:val="16"/>
          <w:szCs w:val="16"/>
        </w:rPr>
        <w:t>J. Arthroplasty</w:t>
      </w:r>
      <w:r w:rsidRPr="00D55901">
        <w:rPr>
          <w:rFonts w:ascii="Times New Roman" w:hAnsi="Times New Roman"/>
          <w:sz w:val="16"/>
          <w:szCs w:val="16"/>
        </w:rPr>
        <w:t xml:space="preserve">, vol. 15, no. 3, pp. 289-294, Apr. 2000.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V. A. Brander, S. D. Stulberg, A. D. Adams, R. N. Harden, S. Bruehl, et al.,,</w:t>
      </w:r>
      <w:r w:rsidR="007257C6">
        <w:rPr>
          <w:rFonts w:ascii="Times New Roman" w:hAnsi="Times New Roman"/>
          <w:sz w:val="16"/>
          <w:szCs w:val="16"/>
        </w:rPr>
        <w:t xml:space="preserve"> </w:t>
      </w:r>
      <w:r w:rsidRPr="00D55901">
        <w:rPr>
          <w:rFonts w:ascii="Times New Roman" w:hAnsi="Times New Roman"/>
          <w:sz w:val="16"/>
          <w:szCs w:val="16"/>
        </w:rPr>
        <w:t xml:space="preserve">“Predicting total knee replacement pain. A prospective, observational study,” </w:t>
      </w:r>
      <w:r w:rsidRPr="00D55901">
        <w:rPr>
          <w:rFonts w:ascii="Times New Roman" w:hAnsi="Times New Roman"/>
          <w:i/>
          <w:iCs/>
          <w:sz w:val="16"/>
          <w:szCs w:val="16"/>
        </w:rPr>
        <w:t>Clin. Orthop. Rel. Res</w:t>
      </w:r>
      <w:r w:rsidRPr="00D55901">
        <w:rPr>
          <w:rFonts w:ascii="Times New Roman" w:hAnsi="Times New Roman"/>
          <w:sz w:val="16"/>
          <w:szCs w:val="16"/>
        </w:rPr>
        <w:t>, no. 416, pp. 27-36, Nov. 2003.</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R. Dickstein, Y. Heffes, E. I. Shabtai, and E. Markowitz,</w:t>
      </w:r>
      <w:r w:rsidRPr="00D55901">
        <w:rPr>
          <w:rFonts w:ascii="Times New Roman" w:hAnsi="Times New Roman"/>
          <w:b/>
          <w:bCs/>
          <w:sz w:val="16"/>
          <w:szCs w:val="16"/>
        </w:rPr>
        <w:t xml:space="preserve"> “</w:t>
      </w:r>
      <w:r w:rsidRPr="00D55901">
        <w:rPr>
          <w:rFonts w:ascii="Times New Roman" w:hAnsi="Times New Roman"/>
          <w:bCs/>
          <w:sz w:val="16"/>
          <w:szCs w:val="16"/>
        </w:rPr>
        <w:t xml:space="preserve">Total knee arthroplasty in the elderly: patients’ self-appraisal 6 and 12 months postoperatively,” </w:t>
      </w:r>
      <w:r w:rsidRPr="00D55901">
        <w:rPr>
          <w:rFonts w:ascii="Times New Roman" w:hAnsi="Times New Roman"/>
          <w:bCs/>
          <w:i/>
          <w:iCs/>
          <w:sz w:val="16"/>
          <w:szCs w:val="16"/>
        </w:rPr>
        <w:t>Gerontology</w:t>
      </w:r>
      <w:r w:rsidRPr="00D55901">
        <w:rPr>
          <w:rFonts w:ascii="Times New Roman" w:hAnsi="Times New Roman"/>
          <w:bCs/>
          <w:sz w:val="16"/>
          <w:szCs w:val="16"/>
        </w:rPr>
        <w:t>, vol. 44, no. 4, pp. 204-210, 1998.</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C. A. Jones, D. C. Voaklander, D. W. Johnston, and M. E. Suarez-Almazor, “Health related quality of life outcomes after total hip and knee arthroplasties in a community based population,” </w:t>
      </w:r>
      <w:r w:rsidRPr="00D55901">
        <w:rPr>
          <w:rFonts w:ascii="Times New Roman" w:hAnsi="Times New Roman"/>
          <w:i/>
          <w:iCs/>
          <w:sz w:val="16"/>
          <w:szCs w:val="16"/>
        </w:rPr>
        <w:t>J. Rheumatol</w:t>
      </w:r>
      <w:r w:rsidRPr="00D55901">
        <w:rPr>
          <w:rFonts w:ascii="Times New Roman" w:hAnsi="Times New Roman"/>
          <w:sz w:val="16"/>
          <w:szCs w:val="16"/>
        </w:rPr>
        <w:t>, vol. 27, no. 7, pp. 1745-1752, Jul. 2000.</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R. B. Bourne, R. S. Laskin,</w:t>
      </w:r>
      <w:r w:rsidRPr="00D55901">
        <w:rPr>
          <w:rFonts w:ascii="Times New Roman" w:eastAsia="SMyriad-Light" w:hAnsi="Times New Roman"/>
          <w:sz w:val="16"/>
          <w:szCs w:val="16"/>
        </w:rPr>
        <w:t xml:space="preserve"> and</w:t>
      </w:r>
      <w:r w:rsidRPr="00D55901">
        <w:rPr>
          <w:rFonts w:ascii="Times New Roman" w:hAnsi="Times New Roman"/>
          <w:sz w:val="16"/>
          <w:szCs w:val="16"/>
        </w:rPr>
        <w:t xml:space="preserve"> J. S. Guerin,</w:t>
      </w:r>
      <w:r w:rsidRPr="00D55901">
        <w:rPr>
          <w:rFonts w:ascii="Times New Roman" w:hAnsi="Times New Roman"/>
          <w:b/>
          <w:bCs/>
          <w:sz w:val="16"/>
          <w:szCs w:val="16"/>
        </w:rPr>
        <w:t xml:space="preserve"> “</w:t>
      </w:r>
      <w:r w:rsidRPr="00D55901">
        <w:rPr>
          <w:rFonts w:ascii="Times New Roman" w:hAnsi="Times New Roman"/>
          <w:bCs/>
          <w:sz w:val="16"/>
          <w:szCs w:val="16"/>
        </w:rPr>
        <w:t xml:space="preserve">Ten-year results of the first 100 Genesis II total knee replacement procedures,” </w:t>
      </w:r>
      <w:r w:rsidRPr="00D55901">
        <w:rPr>
          <w:rFonts w:ascii="Times New Roman" w:hAnsi="Times New Roman"/>
          <w:bCs/>
          <w:i/>
          <w:iCs/>
          <w:sz w:val="16"/>
          <w:szCs w:val="16"/>
        </w:rPr>
        <w:t>Orthopedics</w:t>
      </w:r>
      <w:r w:rsidRPr="00D55901">
        <w:rPr>
          <w:rFonts w:ascii="Times New Roman" w:hAnsi="Times New Roman"/>
          <w:bCs/>
          <w:sz w:val="16"/>
          <w:szCs w:val="16"/>
        </w:rPr>
        <w:t>, vol. 30, Suppl. no., 8, pp. 83-85, Aug. 2007.</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M. F. Brassard, J. N. Insall, G. R. Scuderi, </w:t>
      </w:r>
      <w:r w:rsidRPr="00D55901">
        <w:rPr>
          <w:rFonts w:ascii="Times New Roman" w:eastAsia="SMyriad-Light" w:hAnsi="Times New Roman"/>
          <w:sz w:val="16"/>
          <w:szCs w:val="16"/>
        </w:rPr>
        <w:t xml:space="preserve">and </w:t>
      </w:r>
      <w:r w:rsidRPr="00D55901">
        <w:rPr>
          <w:rFonts w:ascii="Times New Roman" w:hAnsi="Times New Roman"/>
          <w:sz w:val="16"/>
          <w:szCs w:val="16"/>
        </w:rPr>
        <w:t>W. Colizza,</w:t>
      </w:r>
      <w:r w:rsidRPr="00D55901">
        <w:rPr>
          <w:rFonts w:ascii="Times New Roman" w:hAnsi="Times New Roman"/>
          <w:b/>
          <w:bCs/>
          <w:sz w:val="16"/>
          <w:szCs w:val="16"/>
        </w:rPr>
        <w:t xml:space="preserve"> “</w:t>
      </w:r>
      <w:r w:rsidRPr="00D55901">
        <w:rPr>
          <w:rFonts w:ascii="Times New Roman" w:hAnsi="Times New Roman"/>
          <w:bCs/>
          <w:sz w:val="16"/>
          <w:szCs w:val="16"/>
        </w:rPr>
        <w:t xml:space="preserve">Does modularity affect clinical success: a comparison with a minimum 10-year follow-up,” </w:t>
      </w:r>
      <w:r w:rsidRPr="00D55901">
        <w:rPr>
          <w:rFonts w:ascii="Times New Roman" w:hAnsi="Times New Roman"/>
          <w:bCs/>
          <w:i/>
          <w:iCs/>
          <w:sz w:val="16"/>
          <w:szCs w:val="16"/>
        </w:rPr>
        <w:t>Clin. Orthop. Relat. Res</w:t>
      </w:r>
      <w:r w:rsidRPr="00D55901">
        <w:rPr>
          <w:rFonts w:ascii="Times New Roman" w:hAnsi="Times New Roman"/>
          <w:bCs/>
          <w:sz w:val="16"/>
          <w:szCs w:val="16"/>
        </w:rPr>
        <w:t>, no. 388, pp. 26-32, Jul. 2001.</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M. A. Ritter, M. E. Berend, J. B. Meding, E. M. Keating, P. M. Faris, et al., “Long-term follow up of anatomic graduated components posterior </w:t>
      </w:r>
      <w:r w:rsidRPr="00D55901">
        <w:rPr>
          <w:rFonts w:ascii="Times New Roman" w:hAnsi="Times New Roman"/>
          <w:sz w:val="16"/>
          <w:szCs w:val="16"/>
        </w:rPr>
        <w:lastRenderedPageBreak/>
        <w:t xml:space="preserve">cruciate-retaining total knee replacement,” </w:t>
      </w:r>
      <w:r w:rsidRPr="00D55901">
        <w:rPr>
          <w:rFonts w:ascii="Times New Roman" w:hAnsi="Times New Roman"/>
          <w:i/>
          <w:iCs/>
          <w:sz w:val="16"/>
          <w:szCs w:val="16"/>
        </w:rPr>
        <w:t>Clin. Orthop. Rel. Res</w:t>
      </w:r>
      <w:r w:rsidRPr="00D55901">
        <w:rPr>
          <w:rFonts w:ascii="Times New Roman" w:hAnsi="Times New Roman"/>
          <w:sz w:val="16"/>
          <w:szCs w:val="16"/>
        </w:rPr>
        <w:t>, no. 388, pp. 51-57, Jul. 2001.</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M. A. Ritter, J. D. Lutgring, K. E. Davis, P. M. Faris, and M. E. Berend, “Total knee arthroplasty effectiveness in patients 55 years old and younger: osteoarthritis vs. rheumatoid arthritis,” </w:t>
      </w:r>
      <w:r w:rsidRPr="00D55901">
        <w:rPr>
          <w:rFonts w:ascii="Times New Roman" w:hAnsi="Times New Roman"/>
          <w:i/>
          <w:iCs/>
          <w:sz w:val="16"/>
          <w:szCs w:val="16"/>
        </w:rPr>
        <w:t>Knee</w:t>
      </w:r>
      <w:r w:rsidRPr="00D55901">
        <w:rPr>
          <w:rFonts w:ascii="Times New Roman" w:hAnsi="Times New Roman"/>
          <w:sz w:val="16"/>
          <w:szCs w:val="16"/>
        </w:rPr>
        <w:t xml:space="preserve">, vol. 14, no. 1, pp. 9-11, Jan. 2007.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S. Matsuda, H. Miura, R. Nagamine, K. Urabe, T. Matsunobu, et al., “Knee stability in posterior cruciate ligament retaining total knee arthroplasty,” </w:t>
      </w:r>
      <w:r w:rsidRPr="00D55901">
        <w:rPr>
          <w:rFonts w:ascii="Times New Roman" w:hAnsi="Times New Roman"/>
          <w:i/>
          <w:iCs/>
          <w:sz w:val="16"/>
          <w:szCs w:val="16"/>
        </w:rPr>
        <w:t>Clin. Orthop. Rel. Res</w:t>
      </w:r>
      <w:r w:rsidRPr="00D55901">
        <w:rPr>
          <w:rFonts w:ascii="Times New Roman" w:hAnsi="Times New Roman"/>
          <w:sz w:val="16"/>
          <w:szCs w:val="16"/>
        </w:rPr>
        <w:t xml:space="preserve">, no. 366, pp. 169-173, Sep. 1999.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J. I. Sorger, D. Federie, P. G. Kirk, E. Grood, J. Cochran, et al., “The posterior cruciate ligament in total knee arthroplasty,” </w:t>
      </w:r>
      <w:r w:rsidRPr="00D55901">
        <w:rPr>
          <w:rFonts w:ascii="Times New Roman" w:hAnsi="Times New Roman"/>
          <w:i/>
          <w:iCs/>
          <w:sz w:val="16"/>
          <w:szCs w:val="16"/>
        </w:rPr>
        <w:t>J. Arthroplasty</w:t>
      </w:r>
      <w:r w:rsidRPr="00D55901">
        <w:rPr>
          <w:rFonts w:ascii="Times New Roman" w:hAnsi="Times New Roman"/>
          <w:sz w:val="16"/>
          <w:szCs w:val="16"/>
        </w:rPr>
        <w:t xml:space="preserve">, vol. 12, no. 8, pp. 869-879, Dec. 1997. </w:t>
      </w:r>
    </w:p>
    <w:p w:rsidR="00110E5D" w:rsidRPr="00D55901" w:rsidRDefault="00110E5D"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S. </w:t>
      </w:r>
      <w:hyperlink r:id="rId11" w:history="1">
        <w:r w:rsidRPr="00D55901">
          <w:rPr>
            <w:rFonts w:ascii="Times New Roman" w:hAnsi="Times New Roman"/>
            <w:sz w:val="16"/>
            <w:szCs w:val="16"/>
          </w:rPr>
          <w:t>Yoshiya</w:t>
        </w:r>
      </w:hyperlink>
      <w:r w:rsidRPr="00D55901">
        <w:rPr>
          <w:rFonts w:ascii="Times New Roman" w:hAnsi="Times New Roman"/>
          <w:sz w:val="16"/>
          <w:szCs w:val="16"/>
        </w:rPr>
        <w:t xml:space="preserve">, N. </w:t>
      </w:r>
      <w:hyperlink r:id="rId12" w:history="1">
        <w:r w:rsidRPr="00D55901">
          <w:rPr>
            <w:rFonts w:ascii="Times New Roman" w:hAnsi="Times New Roman"/>
            <w:sz w:val="16"/>
            <w:szCs w:val="16"/>
          </w:rPr>
          <w:t xml:space="preserve">Matsui, </w:t>
        </w:r>
      </w:hyperlink>
      <w:r w:rsidRPr="00D55901">
        <w:rPr>
          <w:rFonts w:ascii="Times New Roman" w:hAnsi="Times New Roman"/>
          <w:sz w:val="16"/>
          <w:szCs w:val="16"/>
        </w:rPr>
        <w:t xml:space="preserve">R. D. </w:t>
      </w:r>
      <w:hyperlink r:id="rId13" w:history="1">
        <w:r w:rsidRPr="00D55901">
          <w:rPr>
            <w:rFonts w:ascii="Times New Roman" w:hAnsi="Times New Roman"/>
            <w:sz w:val="16"/>
            <w:szCs w:val="16"/>
          </w:rPr>
          <w:t>Komistek,</w:t>
        </w:r>
      </w:hyperlink>
      <w:r w:rsidRPr="00D55901">
        <w:rPr>
          <w:rFonts w:ascii="Times New Roman" w:hAnsi="Times New Roman"/>
          <w:sz w:val="16"/>
          <w:szCs w:val="16"/>
        </w:rPr>
        <w:t xml:space="preserve"> D. A. </w:t>
      </w:r>
      <w:hyperlink r:id="rId14" w:history="1">
        <w:r w:rsidRPr="00D55901">
          <w:rPr>
            <w:rFonts w:ascii="Times New Roman" w:hAnsi="Times New Roman"/>
            <w:sz w:val="16"/>
            <w:szCs w:val="16"/>
          </w:rPr>
          <w:t xml:space="preserve">Dennis, </w:t>
        </w:r>
      </w:hyperlink>
      <w:r w:rsidRPr="00D55901">
        <w:rPr>
          <w:rFonts w:ascii="Times New Roman" w:hAnsi="Times New Roman"/>
          <w:sz w:val="16"/>
          <w:szCs w:val="16"/>
        </w:rPr>
        <w:t xml:space="preserve">M. Mahfouz, et al., “In vivo kinematic comparison of posterior-cruciate-retaining and posterior stabilized total knee arthroplasties under passive and weight-bearing conditions,” </w:t>
      </w:r>
      <w:r w:rsidRPr="00D55901">
        <w:rPr>
          <w:rFonts w:ascii="Times New Roman" w:hAnsi="Times New Roman"/>
          <w:i/>
          <w:iCs/>
          <w:sz w:val="16"/>
          <w:szCs w:val="16"/>
        </w:rPr>
        <w:t>J. Arthroplasty</w:t>
      </w:r>
      <w:r w:rsidRPr="00D55901">
        <w:rPr>
          <w:rFonts w:ascii="Times New Roman" w:hAnsi="Times New Roman"/>
          <w:sz w:val="16"/>
          <w:szCs w:val="16"/>
        </w:rPr>
        <w:t xml:space="preserve">, vol. 20, no. 6, pp. 777-783, Sep. 2005. </w:t>
      </w:r>
    </w:p>
    <w:p w:rsidR="0074510A" w:rsidRPr="00D55901" w:rsidRDefault="0074510A"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S. Fantozzi, F. Catani, A. Ensini, A. Leardini, and S. Giannini, ‘Femoral rollback of cruciate-retaining and posterior-stabilized total knee replacements: in vivo fluoroscopic analysis during activities of daily living,” </w:t>
      </w:r>
      <w:r w:rsidRPr="00D55901">
        <w:rPr>
          <w:rFonts w:ascii="Times New Roman" w:hAnsi="Times New Roman"/>
          <w:i/>
          <w:iCs/>
          <w:sz w:val="16"/>
          <w:szCs w:val="16"/>
        </w:rPr>
        <w:t>J. Orthop. Res</w:t>
      </w:r>
      <w:r w:rsidRPr="00D55901">
        <w:rPr>
          <w:rFonts w:ascii="Times New Roman" w:hAnsi="Times New Roman"/>
          <w:sz w:val="16"/>
          <w:szCs w:val="16"/>
        </w:rPr>
        <w:t>, vol. 24, no. 12, pp. 2222-2229, Dec. 2006.</w:t>
      </w:r>
    </w:p>
    <w:p w:rsidR="00110E5D" w:rsidRPr="00D55901" w:rsidRDefault="00110E5D" w:rsidP="00D55901">
      <w:pPr>
        <w:pStyle w:val="ListParagraph"/>
        <w:numPr>
          <w:ilvl w:val="0"/>
          <w:numId w:val="32"/>
        </w:numPr>
        <w:spacing w:before="0"/>
        <w:ind w:left="357" w:hanging="357"/>
        <w:rPr>
          <w:rFonts w:ascii="Times New Roman" w:hAnsi="Times New Roman"/>
          <w:sz w:val="16"/>
          <w:szCs w:val="16"/>
        </w:rPr>
      </w:pPr>
      <w:r w:rsidRPr="00D55901">
        <w:rPr>
          <w:rFonts w:ascii="Times New Roman" w:eastAsiaTheme="minorHAnsi" w:hAnsi="Times New Roman"/>
          <w:sz w:val="16"/>
          <w:szCs w:val="16"/>
        </w:rPr>
        <w:t xml:space="preserve">R. </w:t>
      </w:r>
      <w:hyperlink r:id="rId15" w:history="1">
        <w:r w:rsidRPr="00D55901">
          <w:rPr>
            <w:rFonts w:ascii="Times New Roman" w:eastAsiaTheme="minorHAnsi" w:hAnsi="Times New Roman"/>
            <w:sz w:val="16"/>
            <w:szCs w:val="16"/>
          </w:rPr>
          <w:t>Nabeyama</w:t>
        </w:r>
      </w:hyperlink>
      <w:r w:rsidRPr="00D55901">
        <w:rPr>
          <w:rFonts w:ascii="Times New Roman" w:eastAsiaTheme="minorHAnsi" w:hAnsi="Times New Roman"/>
          <w:sz w:val="16"/>
          <w:szCs w:val="16"/>
        </w:rPr>
        <w:t xml:space="preserve">, S. </w:t>
      </w:r>
      <w:hyperlink r:id="rId16" w:history="1">
        <w:r w:rsidRPr="00D55901">
          <w:rPr>
            <w:rFonts w:ascii="Times New Roman" w:eastAsiaTheme="minorHAnsi" w:hAnsi="Times New Roman"/>
            <w:sz w:val="16"/>
            <w:szCs w:val="16"/>
          </w:rPr>
          <w:t xml:space="preserve">Matsuda </w:t>
        </w:r>
      </w:hyperlink>
      <w:r w:rsidRPr="00D55901">
        <w:rPr>
          <w:rFonts w:ascii="Times New Roman" w:eastAsiaTheme="minorHAnsi" w:hAnsi="Times New Roman"/>
          <w:sz w:val="16"/>
          <w:szCs w:val="16"/>
        </w:rPr>
        <w:t xml:space="preserve">, H. </w:t>
      </w:r>
      <w:hyperlink r:id="rId17" w:history="1">
        <w:r w:rsidRPr="00D55901">
          <w:rPr>
            <w:rFonts w:ascii="Times New Roman" w:eastAsiaTheme="minorHAnsi" w:hAnsi="Times New Roman"/>
            <w:sz w:val="16"/>
            <w:szCs w:val="16"/>
          </w:rPr>
          <w:t xml:space="preserve">Miura </w:t>
        </w:r>
      </w:hyperlink>
      <w:r w:rsidRPr="00D55901">
        <w:rPr>
          <w:rFonts w:ascii="Times New Roman" w:eastAsiaTheme="minorHAnsi" w:hAnsi="Times New Roman"/>
          <w:sz w:val="16"/>
          <w:szCs w:val="16"/>
        </w:rPr>
        <w:t>,</w:t>
      </w:r>
      <w:r w:rsidRPr="00D55901">
        <w:rPr>
          <w:rFonts w:ascii="Times New Roman" w:hAnsi="Times New Roman"/>
          <w:sz w:val="16"/>
          <w:szCs w:val="16"/>
        </w:rPr>
        <w:t xml:space="preserve"> </w:t>
      </w:r>
      <w:r w:rsidRPr="00D55901">
        <w:rPr>
          <w:rFonts w:ascii="Times New Roman" w:eastAsiaTheme="minorHAnsi" w:hAnsi="Times New Roman"/>
          <w:sz w:val="16"/>
          <w:szCs w:val="16"/>
        </w:rPr>
        <w:t>T. </w:t>
      </w:r>
      <w:hyperlink r:id="rId18" w:history="1">
        <w:r w:rsidRPr="00D55901">
          <w:rPr>
            <w:rFonts w:ascii="Times New Roman" w:eastAsiaTheme="minorHAnsi" w:hAnsi="Times New Roman"/>
            <w:sz w:val="16"/>
            <w:szCs w:val="16"/>
          </w:rPr>
          <w:t>Kawano</w:t>
        </w:r>
      </w:hyperlink>
      <w:r w:rsidRPr="00D55901">
        <w:rPr>
          <w:rFonts w:ascii="Times New Roman" w:eastAsiaTheme="minorHAnsi" w:hAnsi="Times New Roman"/>
          <w:sz w:val="16"/>
          <w:szCs w:val="16"/>
        </w:rPr>
        <w:t xml:space="preserve">, R. </w:t>
      </w:r>
      <w:hyperlink r:id="rId19" w:history="1">
        <w:r w:rsidRPr="00D55901">
          <w:rPr>
            <w:rFonts w:ascii="Times New Roman" w:eastAsiaTheme="minorHAnsi" w:hAnsi="Times New Roman"/>
            <w:sz w:val="16"/>
            <w:szCs w:val="16"/>
          </w:rPr>
          <w:t>Nagamine</w:t>
        </w:r>
      </w:hyperlink>
      <w:r w:rsidRPr="00D55901">
        <w:rPr>
          <w:rFonts w:ascii="Times New Roman" w:hAnsi="Times New Roman"/>
          <w:sz w:val="16"/>
          <w:szCs w:val="16"/>
        </w:rPr>
        <w:t xml:space="preserve">, et al., “Changes in anteroposterior stability following total knee arthroplasty,” </w:t>
      </w:r>
      <w:r w:rsidRPr="00D55901">
        <w:rPr>
          <w:rFonts w:ascii="Times New Roman" w:hAnsi="Times New Roman"/>
          <w:i/>
          <w:iCs/>
          <w:sz w:val="16"/>
          <w:szCs w:val="16"/>
        </w:rPr>
        <w:t>J. Orthop. Sci,</w:t>
      </w:r>
      <w:r w:rsidRPr="00D55901">
        <w:rPr>
          <w:rFonts w:ascii="Times New Roman" w:hAnsi="Times New Roman"/>
          <w:sz w:val="16"/>
          <w:szCs w:val="16"/>
        </w:rPr>
        <w:t xml:space="preserve"> vol. 8, no. 4, pp. 526-531, 2003.</w:t>
      </w:r>
    </w:p>
    <w:p w:rsidR="0074510A" w:rsidRPr="00D55901" w:rsidRDefault="0074510A" w:rsidP="00D55901">
      <w:pPr>
        <w:pStyle w:val="ListParagraph"/>
        <w:numPr>
          <w:ilvl w:val="0"/>
          <w:numId w:val="32"/>
        </w:numPr>
        <w:shd w:val="clear" w:color="auto" w:fill="FFFFFF"/>
        <w:spacing w:before="0"/>
        <w:ind w:left="357" w:hanging="357"/>
        <w:rPr>
          <w:rFonts w:ascii="Times New Roman" w:hAnsi="Times New Roman"/>
          <w:sz w:val="16"/>
          <w:szCs w:val="16"/>
        </w:rPr>
      </w:pPr>
      <w:r w:rsidRPr="00D55901">
        <w:rPr>
          <w:rFonts w:ascii="Times New Roman" w:hAnsi="Times New Roman"/>
          <w:sz w:val="16"/>
          <w:szCs w:val="16"/>
        </w:rPr>
        <w:t xml:space="preserve">S. </w:t>
      </w:r>
      <w:hyperlink r:id="rId20" w:history="1">
        <w:r w:rsidRPr="00D55901">
          <w:rPr>
            <w:rFonts w:ascii="Times New Roman" w:hAnsi="Times New Roman"/>
            <w:sz w:val="16"/>
            <w:szCs w:val="16"/>
          </w:rPr>
          <w:t>Maruyama</w:t>
        </w:r>
      </w:hyperlink>
      <w:r w:rsidRPr="00D55901">
        <w:rPr>
          <w:rFonts w:ascii="Times New Roman" w:hAnsi="Times New Roman"/>
          <w:sz w:val="16"/>
          <w:szCs w:val="16"/>
        </w:rPr>
        <w:t>,S.</w:t>
      </w:r>
      <w:r w:rsidR="00AA6CE1">
        <w:rPr>
          <w:rFonts w:ascii="Times New Roman" w:hAnsi="Times New Roman"/>
          <w:sz w:val="16"/>
          <w:szCs w:val="16"/>
        </w:rPr>
        <w:t xml:space="preserve"> </w:t>
      </w:r>
      <w:hyperlink r:id="rId21" w:history="1">
        <w:r w:rsidRPr="00D55901">
          <w:rPr>
            <w:rFonts w:ascii="Times New Roman" w:hAnsi="Times New Roman"/>
            <w:sz w:val="16"/>
            <w:szCs w:val="16"/>
          </w:rPr>
          <w:t>Yoshiya</w:t>
        </w:r>
      </w:hyperlink>
      <w:r w:rsidRPr="00D55901">
        <w:rPr>
          <w:rFonts w:ascii="Times New Roman" w:hAnsi="Times New Roman"/>
          <w:sz w:val="16"/>
          <w:szCs w:val="16"/>
        </w:rPr>
        <w:t>, N.</w:t>
      </w:r>
      <w:r w:rsidR="00AA6CE1">
        <w:rPr>
          <w:rFonts w:ascii="Times New Roman" w:hAnsi="Times New Roman"/>
          <w:sz w:val="16"/>
          <w:szCs w:val="16"/>
        </w:rPr>
        <w:t xml:space="preserve"> </w:t>
      </w:r>
      <w:hyperlink r:id="rId22" w:history="1">
        <w:r w:rsidRPr="00D55901">
          <w:rPr>
            <w:rFonts w:ascii="Times New Roman" w:hAnsi="Times New Roman"/>
            <w:sz w:val="16"/>
            <w:szCs w:val="16"/>
          </w:rPr>
          <w:t>Matsui,</w:t>
        </w:r>
      </w:hyperlink>
      <w:r w:rsidRPr="00D55901">
        <w:rPr>
          <w:rFonts w:ascii="Times New Roman" w:hAnsi="Times New Roman"/>
          <w:sz w:val="16"/>
          <w:szCs w:val="16"/>
        </w:rPr>
        <w:t xml:space="preserve"> R. </w:t>
      </w:r>
      <w:hyperlink r:id="rId23" w:history="1">
        <w:r w:rsidRPr="00D55901">
          <w:rPr>
            <w:rFonts w:ascii="Times New Roman" w:hAnsi="Times New Roman"/>
            <w:sz w:val="16"/>
            <w:szCs w:val="16"/>
          </w:rPr>
          <w:t xml:space="preserve">Kuroda, </w:t>
        </w:r>
      </w:hyperlink>
      <w:r w:rsidRPr="00D55901">
        <w:rPr>
          <w:rFonts w:ascii="Times New Roman" w:hAnsi="Times New Roman"/>
          <w:sz w:val="16"/>
          <w:szCs w:val="16"/>
        </w:rPr>
        <w:t>and M. </w:t>
      </w:r>
      <w:hyperlink r:id="rId24" w:history="1">
        <w:r w:rsidRPr="00D55901">
          <w:rPr>
            <w:rFonts w:ascii="Times New Roman" w:hAnsi="Times New Roman"/>
            <w:sz w:val="16"/>
            <w:szCs w:val="16"/>
          </w:rPr>
          <w:t>Kurosaka,</w:t>
        </w:r>
        <w:r w:rsidR="0059277B" w:rsidRPr="00D55901">
          <w:rPr>
            <w:rFonts w:ascii="Times New Roman" w:hAnsi="Times New Roman"/>
            <w:sz w:val="16"/>
            <w:szCs w:val="16"/>
          </w:rPr>
          <w:t xml:space="preserve"> </w:t>
        </w:r>
      </w:hyperlink>
      <w:r w:rsidR="0059277B" w:rsidRPr="00D55901">
        <w:rPr>
          <w:rFonts w:ascii="Times New Roman" w:hAnsi="Times New Roman"/>
          <w:sz w:val="16"/>
          <w:szCs w:val="16"/>
        </w:rPr>
        <w:t>“F</w:t>
      </w:r>
      <w:r w:rsidRPr="00D55901">
        <w:rPr>
          <w:rFonts w:ascii="Times New Roman" w:hAnsi="Times New Roman"/>
          <w:sz w:val="16"/>
          <w:szCs w:val="16"/>
        </w:rPr>
        <w:t>unctional c</w:t>
      </w:r>
      <w:r w:rsidR="007257C6">
        <w:rPr>
          <w:rFonts w:ascii="Times New Roman" w:hAnsi="Times New Roman"/>
          <w:sz w:val="16"/>
          <w:szCs w:val="16"/>
        </w:rPr>
        <w:t xml:space="preserve">omparison of posterior cruciate </w:t>
      </w:r>
      <w:r w:rsidRPr="00D55901">
        <w:rPr>
          <w:rFonts w:ascii="Times New Roman" w:hAnsi="Times New Roman"/>
          <w:sz w:val="16"/>
          <w:szCs w:val="16"/>
        </w:rPr>
        <w:t>retaining</w:t>
      </w:r>
      <w:r w:rsidR="007257C6">
        <w:rPr>
          <w:rFonts w:ascii="Times New Roman" w:hAnsi="Times New Roman"/>
          <w:sz w:val="16"/>
          <w:szCs w:val="16"/>
        </w:rPr>
        <w:t xml:space="preserve"> versus posterior </w:t>
      </w:r>
      <w:r w:rsidRPr="00D55901">
        <w:rPr>
          <w:rFonts w:ascii="Times New Roman" w:hAnsi="Times New Roman"/>
          <w:sz w:val="16"/>
          <w:szCs w:val="16"/>
        </w:rPr>
        <w:t>stabilized</w:t>
      </w:r>
      <w:r w:rsidR="007257C6">
        <w:rPr>
          <w:rFonts w:ascii="Times New Roman" w:hAnsi="Times New Roman"/>
          <w:sz w:val="16"/>
          <w:szCs w:val="16"/>
        </w:rPr>
        <w:t xml:space="preserve"> </w:t>
      </w:r>
      <w:r w:rsidRPr="00D55901">
        <w:rPr>
          <w:rFonts w:ascii="Times New Roman" w:hAnsi="Times New Roman"/>
          <w:sz w:val="16"/>
          <w:szCs w:val="16"/>
        </w:rPr>
        <w:t>total knee arthroplasty,”</w:t>
      </w:r>
      <w:r w:rsidR="007257C6">
        <w:rPr>
          <w:rFonts w:ascii="Times New Roman" w:hAnsi="Times New Roman"/>
          <w:sz w:val="16"/>
          <w:szCs w:val="16"/>
        </w:rPr>
        <w:t xml:space="preserve"> </w:t>
      </w:r>
      <w:r w:rsidRPr="00D55901">
        <w:rPr>
          <w:rFonts w:ascii="Times New Roman" w:hAnsi="Times New Roman"/>
          <w:sz w:val="16"/>
          <w:szCs w:val="16"/>
        </w:rPr>
        <w:t>J. Arthroplasty, vol. 19, no. 3, pp. 349-353, Apr. 2004.</w:t>
      </w:r>
    </w:p>
    <w:p w:rsidR="0074510A" w:rsidRPr="00D55901" w:rsidRDefault="0074510A" w:rsidP="00D55901">
      <w:pPr>
        <w:pStyle w:val="ListParagraph"/>
        <w:numPr>
          <w:ilvl w:val="0"/>
          <w:numId w:val="32"/>
        </w:numPr>
        <w:shd w:val="clear" w:color="auto" w:fill="FFFFFF"/>
        <w:spacing w:before="0"/>
        <w:ind w:left="357" w:hanging="357"/>
        <w:rPr>
          <w:rFonts w:ascii="Times New Roman" w:hAnsi="Times New Roman"/>
          <w:sz w:val="16"/>
          <w:szCs w:val="16"/>
        </w:rPr>
      </w:pPr>
      <w:r w:rsidRPr="00D55901">
        <w:rPr>
          <w:rFonts w:ascii="Times New Roman" w:hAnsi="Times New Roman"/>
          <w:sz w:val="16"/>
          <w:szCs w:val="16"/>
          <w:lang w:val="fr-CA"/>
        </w:rPr>
        <w:t xml:space="preserve">M. </w:t>
      </w:r>
      <w:hyperlink r:id="rId25" w:history="1">
        <w:r w:rsidRPr="00D55901">
          <w:rPr>
            <w:rFonts w:ascii="Times New Roman" w:hAnsi="Times New Roman"/>
            <w:sz w:val="16"/>
            <w:szCs w:val="16"/>
            <w:lang w:val="fr-CA"/>
          </w:rPr>
          <w:t>Arabori</w:t>
        </w:r>
      </w:hyperlink>
      <w:r w:rsidRPr="00D55901">
        <w:rPr>
          <w:rFonts w:ascii="Times New Roman" w:hAnsi="Times New Roman"/>
          <w:sz w:val="16"/>
          <w:szCs w:val="16"/>
          <w:lang w:val="fr-CA"/>
        </w:rPr>
        <w:t>, N. </w:t>
      </w:r>
      <w:hyperlink r:id="rId26" w:history="1">
        <w:r w:rsidRPr="00D55901">
          <w:rPr>
            <w:rFonts w:ascii="Times New Roman" w:hAnsi="Times New Roman"/>
            <w:sz w:val="16"/>
            <w:szCs w:val="16"/>
            <w:lang w:val="fr-CA"/>
          </w:rPr>
          <w:t>Matsui</w:t>
        </w:r>
      </w:hyperlink>
      <w:r w:rsidRPr="00D55901">
        <w:rPr>
          <w:rFonts w:ascii="Times New Roman" w:hAnsi="Times New Roman"/>
          <w:sz w:val="16"/>
          <w:szCs w:val="16"/>
          <w:lang w:val="fr-CA"/>
        </w:rPr>
        <w:t xml:space="preserve">, R. </w:t>
      </w:r>
      <w:hyperlink r:id="rId27" w:history="1">
        <w:r w:rsidRPr="00D55901">
          <w:rPr>
            <w:rFonts w:ascii="Times New Roman" w:hAnsi="Times New Roman"/>
            <w:sz w:val="16"/>
            <w:szCs w:val="16"/>
          </w:rPr>
          <w:t>Kuroda</w:t>
        </w:r>
      </w:hyperlink>
      <w:r w:rsidRPr="00D55901">
        <w:rPr>
          <w:rFonts w:ascii="Times New Roman" w:hAnsi="Times New Roman"/>
          <w:sz w:val="16"/>
          <w:szCs w:val="16"/>
        </w:rPr>
        <w:t>, K.</w:t>
      </w:r>
      <w:r w:rsidR="00AA6CE1">
        <w:rPr>
          <w:rFonts w:ascii="Times New Roman" w:hAnsi="Times New Roman"/>
          <w:sz w:val="16"/>
          <w:szCs w:val="16"/>
        </w:rPr>
        <w:t xml:space="preserve"> </w:t>
      </w:r>
      <w:hyperlink r:id="rId28" w:history="1">
        <w:r w:rsidRPr="00D55901">
          <w:rPr>
            <w:rFonts w:ascii="Times New Roman" w:hAnsi="Times New Roman"/>
            <w:sz w:val="16"/>
            <w:szCs w:val="16"/>
          </w:rPr>
          <w:t>Mizuno</w:t>
        </w:r>
      </w:hyperlink>
      <w:r w:rsidRPr="00D55901">
        <w:rPr>
          <w:rFonts w:ascii="Times New Roman" w:hAnsi="Times New Roman"/>
          <w:sz w:val="16"/>
          <w:szCs w:val="16"/>
        </w:rPr>
        <w:t>, M. </w:t>
      </w:r>
      <w:hyperlink r:id="rId29" w:history="1">
        <w:r w:rsidRPr="00D55901">
          <w:rPr>
            <w:rFonts w:ascii="Times New Roman" w:hAnsi="Times New Roman"/>
            <w:sz w:val="16"/>
            <w:szCs w:val="16"/>
          </w:rPr>
          <w:t xml:space="preserve">Doita, </w:t>
        </w:r>
      </w:hyperlink>
      <w:r w:rsidRPr="00D55901">
        <w:rPr>
          <w:rFonts w:ascii="Times New Roman" w:hAnsi="Times New Roman"/>
          <w:sz w:val="16"/>
          <w:szCs w:val="16"/>
        </w:rPr>
        <w:t xml:space="preserve">et al., “Posterior condylar offset and flexion in posterior cruciate-retaining and posterior stabilized TKA,” </w:t>
      </w:r>
      <w:r w:rsidRPr="00D55901">
        <w:rPr>
          <w:rFonts w:ascii="Times New Roman" w:hAnsi="Times New Roman"/>
          <w:i/>
          <w:iCs/>
          <w:sz w:val="16"/>
          <w:szCs w:val="16"/>
        </w:rPr>
        <w:t>J. Orthop. Sci</w:t>
      </w:r>
      <w:r w:rsidRPr="00D55901">
        <w:rPr>
          <w:rFonts w:ascii="Times New Roman" w:hAnsi="Times New Roman"/>
          <w:sz w:val="16"/>
          <w:szCs w:val="16"/>
        </w:rPr>
        <w:t>, vol. 13, no. 1, pp. 46-50, Jan. 2008.</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R</w:t>
      </w:r>
      <w:r w:rsidR="007257C6">
        <w:rPr>
          <w:rFonts w:ascii="Times New Roman" w:hAnsi="Times New Roman"/>
          <w:sz w:val="16"/>
          <w:szCs w:val="16"/>
        </w:rPr>
        <w:t>. J. Sierra, and D. J. Berry, “</w:t>
      </w:r>
      <w:r w:rsidRPr="00D55901">
        <w:rPr>
          <w:rFonts w:ascii="Times New Roman" w:hAnsi="Times New Roman"/>
          <w:sz w:val="16"/>
          <w:szCs w:val="16"/>
        </w:rPr>
        <w:t>Surgical technique differences between posterior-substituting and cruciate-reta</w:t>
      </w:r>
      <w:r w:rsidR="007257C6">
        <w:rPr>
          <w:rFonts w:ascii="Times New Roman" w:hAnsi="Times New Roman"/>
          <w:sz w:val="16"/>
          <w:szCs w:val="16"/>
        </w:rPr>
        <w:t>ining total knee arthroplasty”, </w:t>
      </w:r>
      <w:r w:rsidRPr="00D55901">
        <w:rPr>
          <w:rFonts w:ascii="Times New Roman" w:hAnsi="Times New Roman"/>
          <w:i/>
          <w:iCs/>
          <w:sz w:val="16"/>
          <w:szCs w:val="16"/>
        </w:rPr>
        <w:t>J. Arthroplasty</w:t>
      </w:r>
      <w:r w:rsidRPr="00D55901">
        <w:rPr>
          <w:rFonts w:ascii="Times New Roman" w:hAnsi="Times New Roman"/>
          <w:sz w:val="16"/>
          <w:szCs w:val="16"/>
        </w:rPr>
        <w:t xml:space="preserve">, vol. 23, Suppl. 7, pp. 20-23, Oct. 2008. </w:t>
      </w:r>
    </w:p>
    <w:p w:rsidR="00040642" w:rsidRPr="00D55901" w:rsidRDefault="00040642" w:rsidP="00D55901">
      <w:pPr>
        <w:pStyle w:val="ListParagraph"/>
        <w:numPr>
          <w:ilvl w:val="0"/>
          <w:numId w:val="32"/>
        </w:numPr>
        <w:spacing w:before="0"/>
        <w:ind w:left="357" w:hanging="357"/>
        <w:rPr>
          <w:rFonts w:ascii="Times New Roman" w:eastAsia="AGaramond-Regular" w:hAnsi="Times New Roman"/>
          <w:bCs/>
          <w:sz w:val="16"/>
          <w:szCs w:val="16"/>
        </w:rPr>
      </w:pPr>
      <w:r w:rsidRPr="00D55901">
        <w:rPr>
          <w:rFonts w:ascii="Times New Roman" w:eastAsia="AGaramond-Regular" w:hAnsi="Times New Roman"/>
          <w:sz w:val="16"/>
          <w:szCs w:val="16"/>
        </w:rPr>
        <w:t>D. S. Barrett, A. G. Cobb,</w:t>
      </w:r>
      <w:r w:rsidRPr="00D55901">
        <w:rPr>
          <w:rFonts w:ascii="Times New Roman" w:eastAsia="SMyriad-Light" w:hAnsi="Times New Roman"/>
          <w:sz w:val="16"/>
          <w:szCs w:val="16"/>
        </w:rPr>
        <w:t xml:space="preserve"> and</w:t>
      </w:r>
      <w:r w:rsidRPr="00D55901">
        <w:rPr>
          <w:rFonts w:ascii="Times New Roman" w:eastAsia="AGaramond-Regular" w:hAnsi="Times New Roman"/>
          <w:sz w:val="16"/>
          <w:szCs w:val="16"/>
        </w:rPr>
        <w:t xml:space="preserve"> G. Bentley, “</w:t>
      </w:r>
      <w:r w:rsidRPr="00D55901">
        <w:rPr>
          <w:rFonts w:ascii="Times New Roman" w:eastAsia="AGaramond-Regular" w:hAnsi="Times New Roman"/>
          <w:bCs/>
          <w:sz w:val="16"/>
          <w:szCs w:val="16"/>
        </w:rPr>
        <w:t xml:space="preserve">Joint proprioception in normal osteoarthritic and replaced knees,” </w:t>
      </w:r>
      <w:r w:rsidRPr="00D55901">
        <w:rPr>
          <w:rFonts w:ascii="Times New Roman" w:eastAsia="AGaramond-Regular" w:hAnsi="Times New Roman"/>
          <w:bCs/>
          <w:i/>
          <w:iCs/>
          <w:sz w:val="16"/>
          <w:szCs w:val="16"/>
        </w:rPr>
        <w:t>J. Bone Joint Surg. Br</w:t>
      </w:r>
      <w:r w:rsidRPr="00D55901">
        <w:rPr>
          <w:rFonts w:ascii="Times New Roman" w:eastAsia="AGaramond-Regular" w:hAnsi="Times New Roman"/>
          <w:bCs/>
          <w:sz w:val="16"/>
          <w:szCs w:val="16"/>
        </w:rPr>
        <w:t>, vol. 73, no. 1, pp. 53-6, Jan. 1991.</w:t>
      </w:r>
    </w:p>
    <w:p w:rsidR="00040642" w:rsidRPr="00D55901" w:rsidRDefault="00040642" w:rsidP="00D55901">
      <w:pPr>
        <w:pStyle w:val="ListParagraph"/>
        <w:numPr>
          <w:ilvl w:val="0"/>
          <w:numId w:val="32"/>
        </w:numPr>
        <w:spacing w:before="0"/>
        <w:ind w:left="357" w:hanging="357"/>
        <w:rPr>
          <w:rFonts w:ascii="Times New Roman" w:hAnsi="Times New Roman"/>
          <w:sz w:val="16"/>
          <w:szCs w:val="16"/>
          <w:rtl/>
          <w:lang w:bidi="ar-EG"/>
        </w:rPr>
      </w:pPr>
      <w:r w:rsidRPr="00D55901">
        <w:rPr>
          <w:rFonts w:ascii="Times New Roman" w:hAnsi="Times New Roman"/>
          <w:sz w:val="16"/>
          <w:szCs w:val="16"/>
        </w:rPr>
        <w:t xml:space="preserve">P. J. Warren, T. K. Olanlokun, A. G. Cobb, and G. Bentley, “Proprioception after knee arthroplasty. The influence of prosthetic design,” </w:t>
      </w:r>
      <w:r w:rsidRPr="00D55901">
        <w:rPr>
          <w:rFonts w:ascii="Times New Roman" w:hAnsi="Times New Roman"/>
          <w:i/>
          <w:iCs/>
          <w:sz w:val="16"/>
          <w:szCs w:val="16"/>
        </w:rPr>
        <w:t>Clin. Orthop. Rel. Res</w:t>
      </w:r>
      <w:r w:rsidRPr="00D55901">
        <w:rPr>
          <w:rFonts w:ascii="Times New Roman" w:hAnsi="Times New Roman"/>
          <w:sz w:val="16"/>
          <w:szCs w:val="16"/>
        </w:rPr>
        <w:t>, no. 297, pp. 182-187, Dec. 1993.</w:t>
      </w:r>
      <w:r w:rsidRPr="00D55901">
        <w:rPr>
          <w:rFonts w:ascii="Times New Roman" w:hAnsi="Times New Roman"/>
          <w:sz w:val="16"/>
          <w:szCs w:val="16"/>
          <w:rtl/>
          <w:lang w:bidi="ar-EG"/>
        </w:rPr>
        <w:t xml:space="preserve">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eastAsia="AGaramond-Regular" w:hAnsi="Times New Roman"/>
          <w:sz w:val="16"/>
          <w:szCs w:val="16"/>
        </w:rPr>
        <w:t xml:space="preserve">S. Fuchs, L. Thorwesten, </w:t>
      </w:r>
      <w:r w:rsidRPr="00D55901">
        <w:rPr>
          <w:rFonts w:ascii="Times New Roman" w:hAnsi="Times New Roman"/>
          <w:sz w:val="16"/>
          <w:szCs w:val="16"/>
        </w:rPr>
        <w:t xml:space="preserve">and </w:t>
      </w:r>
      <w:r w:rsidRPr="00D55901">
        <w:rPr>
          <w:rFonts w:ascii="Times New Roman" w:eastAsia="AGaramond-Regular" w:hAnsi="Times New Roman"/>
          <w:sz w:val="16"/>
          <w:szCs w:val="16"/>
        </w:rPr>
        <w:t>S. Niewerth</w:t>
      </w:r>
      <w:r w:rsidRPr="007257C6">
        <w:rPr>
          <w:rFonts w:ascii="Times New Roman" w:eastAsia="AGaramond-Regular" w:hAnsi="Times New Roman"/>
          <w:sz w:val="16"/>
          <w:szCs w:val="16"/>
        </w:rPr>
        <w:t>,</w:t>
      </w:r>
      <w:r w:rsidRPr="007257C6">
        <w:rPr>
          <w:rFonts w:ascii="Times New Roman" w:eastAsia="AGaramond-Regular" w:hAnsi="Times New Roman"/>
          <w:bCs/>
          <w:sz w:val="16"/>
          <w:szCs w:val="16"/>
        </w:rPr>
        <w:t xml:space="preserve"> “</w:t>
      </w:r>
      <w:r w:rsidRPr="00D55901">
        <w:rPr>
          <w:rFonts w:ascii="Times New Roman" w:eastAsia="AGaramond-Regular" w:hAnsi="Times New Roman"/>
          <w:bCs/>
          <w:sz w:val="16"/>
          <w:szCs w:val="16"/>
        </w:rPr>
        <w:t xml:space="preserve">Proprioceptive function in knees with and without total knee arthroplasty,” </w:t>
      </w:r>
      <w:r w:rsidRPr="00D55901">
        <w:rPr>
          <w:rFonts w:ascii="Times New Roman" w:eastAsia="AGaramond-Regular" w:hAnsi="Times New Roman"/>
          <w:bCs/>
          <w:i/>
          <w:iCs/>
          <w:sz w:val="16"/>
          <w:szCs w:val="16"/>
        </w:rPr>
        <w:t>Am. J. Phys. Med. Rehabil</w:t>
      </w:r>
      <w:r w:rsidRPr="00D55901">
        <w:rPr>
          <w:rFonts w:ascii="Times New Roman" w:eastAsia="AGaramond-Regular" w:hAnsi="Times New Roman"/>
          <w:bCs/>
          <w:sz w:val="16"/>
          <w:szCs w:val="16"/>
        </w:rPr>
        <w:t>, vol. 78, no. 1, pp. 39-45, Jan.-Feb. 1999.</w:t>
      </w:r>
      <w:r w:rsidRPr="00D55901">
        <w:rPr>
          <w:rFonts w:ascii="Times New Roman" w:hAnsi="Times New Roman"/>
          <w:sz w:val="16"/>
          <w:szCs w:val="16"/>
        </w:rPr>
        <w:t xml:space="preserve"> </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R. L. Barrack, H. B. Skinner, S. D. Cook,</w:t>
      </w:r>
      <w:r w:rsidRPr="00D55901">
        <w:rPr>
          <w:rFonts w:ascii="Times New Roman" w:eastAsia="SMyriad-Light" w:hAnsi="Times New Roman"/>
          <w:sz w:val="16"/>
          <w:szCs w:val="16"/>
        </w:rPr>
        <w:t xml:space="preserve"> and</w:t>
      </w:r>
      <w:r w:rsidRPr="00D55901">
        <w:rPr>
          <w:rFonts w:ascii="Times New Roman" w:hAnsi="Times New Roman"/>
          <w:sz w:val="16"/>
          <w:szCs w:val="16"/>
        </w:rPr>
        <w:t xml:space="preserve"> R. J. Jr. Haddad,</w:t>
      </w:r>
      <w:r w:rsidRPr="00D55901">
        <w:rPr>
          <w:rFonts w:ascii="Times New Roman" w:hAnsi="Times New Roman"/>
          <w:bCs/>
          <w:sz w:val="16"/>
          <w:szCs w:val="16"/>
        </w:rPr>
        <w:t xml:space="preserve"> “Effect of articular disease and total knee arthroplasty on knee joint-position sense,” </w:t>
      </w:r>
      <w:r w:rsidRPr="00D55901">
        <w:rPr>
          <w:rFonts w:ascii="Times New Roman" w:hAnsi="Times New Roman"/>
          <w:bCs/>
          <w:i/>
          <w:iCs/>
          <w:sz w:val="16"/>
          <w:szCs w:val="16"/>
        </w:rPr>
        <w:t>J. Neurophysiol</w:t>
      </w:r>
      <w:r w:rsidRPr="00D55901">
        <w:rPr>
          <w:rFonts w:ascii="Times New Roman" w:hAnsi="Times New Roman"/>
          <w:bCs/>
          <w:sz w:val="16"/>
          <w:szCs w:val="16"/>
        </w:rPr>
        <w:t>, vol. 50, no. 3, pp. 684-687, Sep. 1983.</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Y. Ishii, K. Terajima, S. Terashima, J. E. Bechtold, and R. S. Laskin, “Comparison of joint position sense after total knee arthroplasty,” </w:t>
      </w:r>
      <w:r w:rsidRPr="00D55901">
        <w:rPr>
          <w:rFonts w:ascii="Times New Roman" w:hAnsi="Times New Roman"/>
          <w:i/>
          <w:iCs/>
          <w:sz w:val="16"/>
          <w:szCs w:val="16"/>
        </w:rPr>
        <w:t>J. Arthroplasty</w:t>
      </w:r>
      <w:r w:rsidRPr="00D55901">
        <w:rPr>
          <w:rFonts w:ascii="Times New Roman" w:hAnsi="Times New Roman"/>
          <w:sz w:val="16"/>
          <w:szCs w:val="16"/>
        </w:rPr>
        <w:t>, vol. 12, no. 5, pp. 541-545, Aug. 1997.</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P. Clark, P. B. MacDonald, and K. Sutherland, </w:t>
      </w:r>
      <w:r w:rsidRPr="00D55901">
        <w:rPr>
          <w:rFonts w:ascii="Times New Roman" w:hAnsi="Times New Roman"/>
          <w:b/>
          <w:bCs/>
          <w:sz w:val="16"/>
          <w:szCs w:val="16"/>
        </w:rPr>
        <w:t>“</w:t>
      </w:r>
      <w:r w:rsidRPr="00D55901">
        <w:rPr>
          <w:rFonts w:ascii="Times New Roman" w:hAnsi="Times New Roman"/>
          <w:bCs/>
          <w:sz w:val="16"/>
          <w:szCs w:val="16"/>
        </w:rPr>
        <w:t xml:space="preserve">Analysis of proprioception in the posterior cruciate ligament-deficient knee,” </w:t>
      </w:r>
      <w:r w:rsidRPr="00D55901">
        <w:rPr>
          <w:rFonts w:ascii="Times New Roman" w:hAnsi="Times New Roman"/>
          <w:bCs/>
          <w:i/>
          <w:iCs/>
          <w:sz w:val="16"/>
          <w:szCs w:val="16"/>
        </w:rPr>
        <w:t>Knee Surg. Sports Traumatol. Arthrosc</w:t>
      </w:r>
      <w:r w:rsidRPr="00D55901">
        <w:rPr>
          <w:rFonts w:ascii="Times New Roman" w:hAnsi="Times New Roman"/>
          <w:bCs/>
          <w:sz w:val="16"/>
          <w:szCs w:val="16"/>
        </w:rPr>
        <w:t>, vol. 4, no. 4, pp. 225-227, 1996.</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J. P. Corrigan, W. F. Cashman, and M. P. Brady, </w:t>
      </w:r>
      <w:r w:rsidRPr="00D55901">
        <w:rPr>
          <w:rFonts w:ascii="Times New Roman" w:hAnsi="Times New Roman"/>
          <w:b/>
          <w:bCs/>
          <w:sz w:val="16"/>
          <w:szCs w:val="16"/>
        </w:rPr>
        <w:t>“</w:t>
      </w:r>
      <w:r w:rsidRPr="00D55901">
        <w:rPr>
          <w:rFonts w:ascii="Times New Roman" w:hAnsi="Times New Roman"/>
          <w:bCs/>
          <w:sz w:val="16"/>
          <w:szCs w:val="16"/>
        </w:rPr>
        <w:t xml:space="preserve">Proprioception in the cruciate deficient knee,” </w:t>
      </w:r>
      <w:r w:rsidRPr="00D55901">
        <w:rPr>
          <w:rFonts w:ascii="Times New Roman" w:hAnsi="Times New Roman"/>
          <w:bCs/>
          <w:i/>
          <w:iCs/>
          <w:sz w:val="16"/>
          <w:szCs w:val="16"/>
        </w:rPr>
        <w:t>J. Bone Joint Surg Br</w:t>
      </w:r>
      <w:r w:rsidRPr="00D55901">
        <w:rPr>
          <w:rFonts w:ascii="Times New Roman" w:hAnsi="Times New Roman"/>
          <w:bCs/>
          <w:sz w:val="16"/>
          <w:szCs w:val="16"/>
        </w:rPr>
        <w:t>, vol. 74, no. 2, pp. 247-250, Mar. 1992.</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M. E. Del Valle, S. F. Harwin, A. Maestro, A. Murcia, and J. A. Vega, </w:t>
      </w:r>
      <w:r w:rsidRPr="00D55901">
        <w:rPr>
          <w:rFonts w:ascii="Times New Roman" w:hAnsi="Times New Roman"/>
          <w:b/>
          <w:bCs/>
          <w:sz w:val="16"/>
          <w:szCs w:val="16"/>
        </w:rPr>
        <w:t>“</w:t>
      </w:r>
      <w:r w:rsidRPr="00D55901">
        <w:rPr>
          <w:rFonts w:ascii="Times New Roman" w:hAnsi="Times New Roman"/>
          <w:bCs/>
          <w:sz w:val="16"/>
          <w:szCs w:val="16"/>
        </w:rPr>
        <w:t xml:space="preserve">Immunohistochemical analysis of mechanoreceptors in the human posterior cruciate ligament: a demonstration of its proprioceptive role and clinical relevance,” </w:t>
      </w:r>
      <w:r w:rsidRPr="00D55901">
        <w:rPr>
          <w:rFonts w:ascii="Times New Roman" w:hAnsi="Times New Roman"/>
          <w:bCs/>
          <w:i/>
          <w:iCs/>
          <w:sz w:val="16"/>
          <w:szCs w:val="16"/>
        </w:rPr>
        <w:t>J. Arthroplasty</w:t>
      </w:r>
      <w:r w:rsidRPr="00D55901">
        <w:rPr>
          <w:rFonts w:ascii="Times New Roman" w:hAnsi="Times New Roman"/>
          <w:bCs/>
          <w:sz w:val="16"/>
          <w:szCs w:val="16"/>
        </w:rPr>
        <w:t>, vol. 13, no. 8, pp. 916-922, Dec. 1998.</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S. Simmons, S. Lephart, H. Rubash, P. Borsa, and R. L. Barrack, “Proprioception following total knee arthroplasty with and without the posterior cruciate ligament,” </w:t>
      </w:r>
      <w:r w:rsidRPr="00D55901">
        <w:rPr>
          <w:rFonts w:ascii="Times New Roman" w:hAnsi="Times New Roman"/>
          <w:i/>
          <w:iCs/>
          <w:sz w:val="16"/>
          <w:szCs w:val="16"/>
        </w:rPr>
        <w:t>J. Arthroplasty</w:t>
      </w:r>
      <w:r w:rsidRPr="00D55901">
        <w:rPr>
          <w:rFonts w:ascii="Times New Roman" w:hAnsi="Times New Roman"/>
          <w:sz w:val="16"/>
          <w:szCs w:val="16"/>
        </w:rPr>
        <w:t xml:space="preserve">, vol. 11, no. 7, pp. 763-768, Oct. 1996.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R. Marks, “Further evidence of impaired position sense in knee osteoarthritis,” </w:t>
      </w:r>
      <w:r w:rsidRPr="00D55901">
        <w:rPr>
          <w:rFonts w:ascii="Times New Roman" w:hAnsi="Times New Roman"/>
          <w:i/>
          <w:iCs/>
          <w:sz w:val="16"/>
          <w:szCs w:val="16"/>
        </w:rPr>
        <w:t>Physiother. Res. Int</w:t>
      </w:r>
      <w:r w:rsidRPr="00D55901">
        <w:rPr>
          <w:rFonts w:ascii="Times New Roman" w:hAnsi="Times New Roman"/>
          <w:sz w:val="16"/>
          <w:szCs w:val="16"/>
        </w:rPr>
        <w:t>, vol. 1, no. 2, pp. 127-136, 1996.</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L. Sharma, and Y. C. Pai, “Impaired proprioception and osteoarthritis,” </w:t>
      </w:r>
      <w:r w:rsidRPr="00D55901">
        <w:rPr>
          <w:rFonts w:ascii="Times New Roman" w:hAnsi="Times New Roman"/>
          <w:i/>
          <w:iCs/>
          <w:sz w:val="16"/>
          <w:szCs w:val="16"/>
        </w:rPr>
        <w:t>Curr. Opin. Rheumatol</w:t>
      </w:r>
      <w:r w:rsidRPr="00D55901">
        <w:rPr>
          <w:rFonts w:ascii="Times New Roman" w:hAnsi="Times New Roman"/>
          <w:sz w:val="16"/>
          <w:szCs w:val="16"/>
        </w:rPr>
        <w:t>, vol.</w:t>
      </w:r>
      <w:r w:rsidR="00AA6CE1">
        <w:rPr>
          <w:rFonts w:ascii="Times New Roman" w:hAnsi="Times New Roman"/>
          <w:sz w:val="16"/>
          <w:szCs w:val="16"/>
        </w:rPr>
        <w:t xml:space="preserve"> </w:t>
      </w:r>
      <w:r w:rsidRPr="00D55901">
        <w:rPr>
          <w:rFonts w:ascii="Times New Roman" w:hAnsi="Times New Roman"/>
          <w:sz w:val="16"/>
          <w:szCs w:val="16"/>
        </w:rPr>
        <w:t>9, no. 3, pp. 253-258, May 1997.</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bCs/>
          <w:sz w:val="16"/>
          <w:szCs w:val="16"/>
        </w:rPr>
        <w:t xml:space="preserve">E. Aydog, A. Bal, S. T. Aydog, and A. Cakci, “Evaluation of dynamic postural balance using the Biodex Stability System in rheumatoid arthritis patients,” </w:t>
      </w:r>
      <w:r w:rsidRPr="00D55901">
        <w:rPr>
          <w:rFonts w:ascii="Times New Roman" w:hAnsi="Times New Roman"/>
          <w:bCs/>
          <w:i/>
          <w:iCs/>
          <w:sz w:val="16"/>
          <w:szCs w:val="16"/>
        </w:rPr>
        <w:t>Clin. Rheumatol</w:t>
      </w:r>
      <w:r w:rsidRPr="00D55901">
        <w:rPr>
          <w:rFonts w:ascii="Times New Roman" w:hAnsi="Times New Roman"/>
          <w:bCs/>
          <w:sz w:val="16"/>
          <w:szCs w:val="16"/>
        </w:rPr>
        <w:t>, vol. 25, no. 4, pp. 462-467, Jul. 2006.</w:t>
      </w:r>
    </w:p>
    <w:p w:rsidR="00040642" w:rsidRPr="00D55901" w:rsidRDefault="00040642" w:rsidP="00D55901">
      <w:pPr>
        <w:pStyle w:val="ListParagraph"/>
        <w:numPr>
          <w:ilvl w:val="0"/>
          <w:numId w:val="32"/>
        </w:numPr>
        <w:spacing w:before="0"/>
        <w:ind w:left="357" w:hanging="357"/>
        <w:rPr>
          <w:rFonts w:ascii="Times New Roman" w:eastAsia="AdvP4DF60E" w:hAnsi="Times New Roman"/>
          <w:sz w:val="16"/>
          <w:szCs w:val="16"/>
        </w:rPr>
      </w:pPr>
      <w:r w:rsidRPr="00D55901">
        <w:rPr>
          <w:rFonts w:ascii="Times New Roman" w:eastAsia="AdvP4DF60E" w:hAnsi="Times New Roman"/>
          <w:sz w:val="16"/>
          <w:szCs w:val="16"/>
        </w:rPr>
        <w:lastRenderedPageBreak/>
        <w:t xml:space="preserve">N. Sarabon, B. Mlaker, and G. Markovic, “A novel tool for the assessment of dynamic balance in healthy individuals,” </w:t>
      </w:r>
      <w:r w:rsidRPr="00D55901">
        <w:rPr>
          <w:rFonts w:ascii="Times New Roman" w:eastAsia="AdvP4DF60E" w:hAnsi="Times New Roman"/>
          <w:i/>
          <w:iCs/>
          <w:sz w:val="16"/>
          <w:szCs w:val="16"/>
        </w:rPr>
        <w:t>Gait Posture</w:t>
      </w:r>
      <w:r w:rsidRPr="00D55901">
        <w:rPr>
          <w:rFonts w:ascii="Times New Roman" w:eastAsia="AdvP4DF60E" w:hAnsi="Times New Roman"/>
          <w:sz w:val="16"/>
          <w:szCs w:val="16"/>
        </w:rPr>
        <w:t>, vol.</w:t>
      </w:r>
      <w:r w:rsidR="00AA6CE1">
        <w:rPr>
          <w:rFonts w:ascii="Times New Roman" w:eastAsia="AdvP4DF60E" w:hAnsi="Times New Roman"/>
          <w:sz w:val="16"/>
          <w:szCs w:val="16"/>
        </w:rPr>
        <w:t xml:space="preserve"> </w:t>
      </w:r>
      <w:r w:rsidRPr="00D55901">
        <w:rPr>
          <w:rFonts w:ascii="Times New Roman" w:eastAsia="AdvP4DF60E" w:hAnsi="Times New Roman"/>
          <w:sz w:val="16"/>
          <w:szCs w:val="16"/>
        </w:rPr>
        <w:t>31, no. 2, pp. 261-264, Feb. 2010.</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R. M. Cash, M. H. Gonzalez, J. Garst, R. Barmada,</w:t>
      </w:r>
      <w:r w:rsidRPr="00D55901">
        <w:rPr>
          <w:rFonts w:ascii="Times New Roman" w:eastAsia="SMyriad-Light" w:hAnsi="Times New Roman"/>
          <w:sz w:val="16"/>
          <w:szCs w:val="16"/>
        </w:rPr>
        <w:t xml:space="preserve"> and</w:t>
      </w:r>
      <w:r w:rsidRPr="00D55901">
        <w:rPr>
          <w:rFonts w:ascii="Times New Roman" w:hAnsi="Times New Roman"/>
          <w:sz w:val="16"/>
          <w:szCs w:val="16"/>
        </w:rPr>
        <w:t xml:space="preserve"> S. H. Stern, </w:t>
      </w:r>
      <w:r w:rsidRPr="00D55901">
        <w:rPr>
          <w:rFonts w:ascii="Times New Roman" w:hAnsi="Times New Roman"/>
          <w:b/>
          <w:bCs/>
          <w:sz w:val="16"/>
          <w:szCs w:val="16"/>
        </w:rPr>
        <w:t>“</w:t>
      </w:r>
      <w:r w:rsidRPr="00D55901">
        <w:rPr>
          <w:rFonts w:ascii="Times New Roman" w:hAnsi="Times New Roman"/>
          <w:bCs/>
          <w:sz w:val="16"/>
          <w:szCs w:val="16"/>
        </w:rPr>
        <w:t xml:space="preserve">Proprioception after arthroplasty: role of the posterior cruciate ligament,” </w:t>
      </w:r>
      <w:r w:rsidRPr="00D55901">
        <w:rPr>
          <w:rFonts w:ascii="Times New Roman" w:hAnsi="Times New Roman"/>
          <w:bCs/>
          <w:i/>
          <w:iCs/>
          <w:sz w:val="16"/>
          <w:szCs w:val="16"/>
        </w:rPr>
        <w:t>Clin. Orthop. Rel. Res</w:t>
      </w:r>
      <w:r w:rsidRPr="00D55901">
        <w:rPr>
          <w:rFonts w:ascii="Times New Roman" w:hAnsi="Times New Roman"/>
          <w:bCs/>
          <w:sz w:val="16"/>
          <w:szCs w:val="16"/>
        </w:rPr>
        <w:t>, no. 331, pp. 172-178, Oct. 1996.</w:t>
      </w:r>
    </w:p>
    <w:p w:rsidR="00040642" w:rsidRPr="00D55901" w:rsidRDefault="00040642" w:rsidP="00D55901">
      <w:pPr>
        <w:pStyle w:val="ListParagraph"/>
        <w:numPr>
          <w:ilvl w:val="0"/>
          <w:numId w:val="32"/>
        </w:numPr>
        <w:spacing w:before="0"/>
        <w:ind w:left="357" w:hanging="357"/>
        <w:rPr>
          <w:rFonts w:ascii="Times New Roman" w:hAnsi="Times New Roman"/>
          <w:bCs/>
          <w:sz w:val="16"/>
          <w:szCs w:val="16"/>
        </w:rPr>
      </w:pPr>
      <w:r w:rsidRPr="00D55901">
        <w:rPr>
          <w:rFonts w:ascii="Times New Roman" w:hAnsi="Times New Roman"/>
          <w:sz w:val="16"/>
          <w:szCs w:val="16"/>
        </w:rPr>
        <w:t xml:space="preserve">S. Fuchs, C. O. Tibesku, M. Genkinger, H. Laass, and D. Rosenbaum, </w:t>
      </w:r>
      <w:r w:rsidRPr="00D55901">
        <w:rPr>
          <w:rFonts w:ascii="Times New Roman" w:hAnsi="Times New Roman"/>
          <w:b/>
          <w:bCs/>
          <w:sz w:val="16"/>
          <w:szCs w:val="16"/>
        </w:rPr>
        <w:t>“</w:t>
      </w:r>
      <w:r w:rsidRPr="00D55901">
        <w:rPr>
          <w:rFonts w:ascii="Times New Roman" w:hAnsi="Times New Roman"/>
          <w:bCs/>
          <w:sz w:val="16"/>
          <w:szCs w:val="16"/>
        </w:rPr>
        <w:t xml:space="preserve">Proprioception with bicondylar sledge prostheses retaining cruciate ligaments,” </w:t>
      </w:r>
      <w:r w:rsidRPr="00D55901">
        <w:rPr>
          <w:rFonts w:ascii="Times New Roman" w:hAnsi="Times New Roman"/>
          <w:bCs/>
          <w:i/>
          <w:iCs/>
          <w:sz w:val="16"/>
          <w:szCs w:val="16"/>
        </w:rPr>
        <w:t>Clin. Orthop. Rel. Res</w:t>
      </w:r>
      <w:r w:rsidRPr="00D55901">
        <w:rPr>
          <w:rFonts w:ascii="Times New Roman" w:hAnsi="Times New Roman"/>
          <w:bCs/>
          <w:sz w:val="16"/>
          <w:szCs w:val="16"/>
        </w:rPr>
        <w:t>, no. 406, pp. 148-154, Jan. 2003.</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P. J. Lattanzio, D. G. Chess, and J. C. MacDermid, “Effect of the posterior cruciate ligament in knee-joint proprioception in total knee arthroplasty,” </w:t>
      </w:r>
      <w:r w:rsidRPr="00D55901">
        <w:rPr>
          <w:rFonts w:ascii="Times New Roman" w:hAnsi="Times New Roman"/>
          <w:i/>
          <w:iCs/>
          <w:sz w:val="16"/>
          <w:szCs w:val="16"/>
        </w:rPr>
        <w:t>J. Arthroplasty</w:t>
      </w:r>
      <w:r w:rsidRPr="00D55901">
        <w:rPr>
          <w:rFonts w:ascii="Times New Roman" w:hAnsi="Times New Roman"/>
          <w:sz w:val="16"/>
          <w:szCs w:val="16"/>
        </w:rPr>
        <w:t xml:space="preserve">, vol. 13, no. 5, pp. 580-585, Aug. 1998.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G. Pap, M. Meyer, H. T. Weiler, A. Machner and F. Awiszus, “Proprioception after total knee arthroplasty: a comparison with clinical outcome,” </w:t>
      </w:r>
      <w:r w:rsidRPr="00D55901">
        <w:rPr>
          <w:rFonts w:ascii="Times New Roman" w:hAnsi="Times New Roman"/>
          <w:i/>
          <w:iCs/>
          <w:sz w:val="16"/>
          <w:szCs w:val="16"/>
        </w:rPr>
        <w:t>Acta Orthop Scand</w:t>
      </w:r>
      <w:r w:rsidRPr="00D55901">
        <w:rPr>
          <w:rFonts w:ascii="Times New Roman" w:hAnsi="Times New Roman"/>
          <w:sz w:val="16"/>
          <w:szCs w:val="16"/>
        </w:rPr>
        <w:t xml:space="preserve">, vol. 71, no. 2, pp. 153-159, Apr. 2000.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C. B. Swanik, S. M. Lephart, and H. E. Rubash, “Proprioception, kinesthesia, and balance after total knee arthroplasty with cruciate-retaining and posterior stabilized prostheses,” </w:t>
      </w:r>
      <w:r w:rsidRPr="00D55901">
        <w:rPr>
          <w:rFonts w:ascii="Times New Roman" w:hAnsi="Times New Roman"/>
          <w:i/>
          <w:iCs/>
          <w:sz w:val="16"/>
          <w:szCs w:val="16"/>
        </w:rPr>
        <w:t>J. Bone Joint Surg. Am</w:t>
      </w:r>
      <w:r w:rsidRPr="00D55901">
        <w:rPr>
          <w:rFonts w:ascii="Times New Roman" w:hAnsi="Times New Roman"/>
          <w:sz w:val="16"/>
          <w:szCs w:val="16"/>
        </w:rPr>
        <w:t xml:space="preserve">, vol. 86-A, no. 2, pp. 328-334, Feb. 2004.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tl/>
          <w:lang w:bidi="ar-EG"/>
        </w:rPr>
      </w:pPr>
      <w:r w:rsidRPr="00D55901">
        <w:rPr>
          <w:rFonts w:ascii="Times New Roman" w:hAnsi="Times New Roman"/>
          <w:sz w:val="16"/>
          <w:szCs w:val="16"/>
        </w:rPr>
        <w:t xml:space="preserve">M. Wada, H. Kawahara, S. Shimada, T. Miyazaki, and H. Baba, “Joint proprioception before and after total knee arthroplasty,” </w:t>
      </w:r>
      <w:r w:rsidRPr="00D55901">
        <w:rPr>
          <w:rFonts w:ascii="Times New Roman" w:hAnsi="Times New Roman"/>
          <w:i/>
          <w:iCs/>
          <w:sz w:val="16"/>
          <w:szCs w:val="16"/>
        </w:rPr>
        <w:t>Clin. Orthop. Rel. Res</w:t>
      </w:r>
      <w:r w:rsidRPr="00D55901">
        <w:rPr>
          <w:rFonts w:ascii="Times New Roman" w:hAnsi="Times New Roman"/>
          <w:sz w:val="16"/>
          <w:szCs w:val="16"/>
        </w:rPr>
        <w:t>, no. 403, pp. 161-167, Oct. 2002.</w:t>
      </w:r>
      <w:r w:rsidRPr="00D55901">
        <w:rPr>
          <w:rFonts w:ascii="Times New Roman" w:hAnsi="Times New Roman"/>
          <w:sz w:val="16"/>
          <w:szCs w:val="16"/>
          <w:rtl/>
          <w:lang w:bidi="ar-EG"/>
        </w:rPr>
        <w:t xml:space="preserve">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I. Bascuas, M. Tejero, S. Monleón, R. Boza, J. M. Muniesa, et al., </w:t>
      </w:r>
      <w:r w:rsidRPr="00D55901">
        <w:rPr>
          <w:rFonts w:ascii="Times New Roman" w:hAnsi="Times New Roman"/>
          <w:b/>
          <w:bCs/>
          <w:sz w:val="16"/>
          <w:szCs w:val="16"/>
        </w:rPr>
        <w:t>“</w:t>
      </w:r>
      <w:r w:rsidRPr="00D55901">
        <w:rPr>
          <w:rFonts w:ascii="Times New Roman" w:hAnsi="Times New Roman"/>
          <w:sz w:val="16"/>
          <w:szCs w:val="16"/>
        </w:rPr>
        <w:t xml:space="preserve">Balance 1 year after TKA: correlation with clinical variables,” </w:t>
      </w:r>
      <w:r w:rsidRPr="00D55901">
        <w:rPr>
          <w:rFonts w:ascii="Times New Roman" w:hAnsi="Times New Roman"/>
          <w:i/>
          <w:iCs/>
          <w:sz w:val="16"/>
          <w:szCs w:val="16"/>
        </w:rPr>
        <w:t>Orthopedics</w:t>
      </w:r>
      <w:r w:rsidRPr="00D55901">
        <w:rPr>
          <w:rFonts w:ascii="Times New Roman" w:hAnsi="Times New Roman"/>
          <w:sz w:val="16"/>
          <w:szCs w:val="16"/>
        </w:rPr>
        <w:t xml:space="preserve">, vol. 36, no. 1, e6-12, Jan. 2013.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R. S. Hinman, K. L. Bennell, B. R. Metcalf, and K. M. Crossley, “Balance impairments in individuals with symptomatic knee osteoarthritis: a comparison with matched controls using clinical tests,” </w:t>
      </w:r>
      <w:r w:rsidRPr="00D55901">
        <w:rPr>
          <w:rFonts w:ascii="Times New Roman" w:hAnsi="Times New Roman"/>
          <w:i/>
          <w:iCs/>
          <w:sz w:val="16"/>
          <w:szCs w:val="16"/>
        </w:rPr>
        <w:t>Rheumatology (Oxford)</w:t>
      </w:r>
      <w:r w:rsidRPr="00D55901">
        <w:rPr>
          <w:rFonts w:ascii="Times New Roman" w:hAnsi="Times New Roman"/>
          <w:sz w:val="16"/>
          <w:szCs w:val="16"/>
        </w:rPr>
        <w:t>, vol. 41, no. 12, 1388-1394, Dec. 2002.</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K. Jadelis, M. E. Miller, W. H. Jr. Ettinger, and S. P. Messier, “Strength, balance, and the modifying effects of obesity and knee pain: results from the Observational Arthritis Study in Seniors (OASIS),” </w:t>
      </w:r>
      <w:r w:rsidRPr="00D55901">
        <w:rPr>
          <w:rFonts w:ascii="Times New Roman" w:hAnsi="Times New Roman"/>
          <w:i/>
          <w:iCs/>
          <w:sz w:val="16"/>
          <w:szCs w:val="16"/>
        </w:rPr>
        <w:t>J. Am. Geriatr. Soc</w:t>
      </w:r>
      <w:r w:rsidRPr="00D55901">
        <w:rPr>
          <w:rFonts w:ascii="Times New Roman" w:hAnsi="Times New Roman"/>
          <w:sz w:val="16"/>
          <w:szCs w:val="16"/>
        </w:rPr>
        <w:t>, vol. 49, no. 7, pp. 884-891, Jul. 2001.</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P. Salmon, G. M. Hall, D. Peerbhoy, A. Shenkin, and C. Parker, “Recovery from hip and knee arthroplasty: Patients' perspective on pain, function, quality of life, and well-being up to 6 months postoperatively,” </w:t>
      </w:r>
      <w:r w:rsidRPr="00D55901">
        <w:rPr>
          <w:rFonts w:ascii="Times New Roman" w:hAnsi="Times New Roman"/>
          <w:i/>
          <w:iCs/>
          <w:sz w:val="16"/>
          <w:szCs w:val="16"/>
        </w:rPr>
        <w:t>Arch. Phys. Med. Rehabil</w:t>
      </w:r>
      <w:r w:rsidRPr="00D55901">
        <w:rPr>
          <w:rFonts w:ascii="Times New Roman" w:hAnsi="Times New Roman"/>
          <w:sz w:val="16"/>
          <w:szCs w:val="16"/>
        </w:rPr>
        <w:t>, vol. 82, no. 3, pp. 360-366, Mar. 2001.</w:t>
      </w:r>
    </w:p>
    <w:p w:rsidR="00040642" w:rsidRPr="00D55901" w:rsidRDefault="00040642" w:rsidP="00D55901">
      <w:pPr>
        <w:pStyle w:val="ListParagraph"/>
        <w:numPr>
          <w:ilvl w:val="0"/>
          <w:numId w:val="32"/>
        </w:numPr>
        <w:shd w:val="clear" w:color="auto" w:fill="FFFFFF"/>
        <w:spacing w:before="0"/>
        <w:ind w:left="357" w:hanging="357"/>
        <w:rPr>
          <w:rFonts w:ascii="Times New Roman" w:hAnsi="Times New Roman"/>
          <w:sz w:val="16"/>
          <w:szCs w:val="16"/>
        </w:rPr>
      </w:pPr>
      <w:r w:rsidRPr="00D55901">
        <w:rPr>
          <w:rFonts w:ascii="Times New Roman" w:hAnsi="Times New Roman"/>
          <w:sz w:val="16"/>
          <w:szCs w:val="16"/>
        </w:rPr>
        <w:t xml:space="preserve">J. H. Kellgren, and J. S. Lawrence, “Radiological assessment of osteoarthrosis,” </w:t>
      </w:r>
      <w:r w:rsidRPr="00D55901">
        <w:rPr>
          <w:rFonts w:ascii="Times New Roman" w:hAnsi="Times New Roman"/>
          <w:i/>
          <w:iCs/>
          <w:sz w:val="16"/>
          <w:szCs w:val="16"/>
        </w:rPr>
        <w:t>Ann. Rheum. Dis</w:t>
      </w:r>
      <w:r w:rsidRPr="00D55901">
        <w:rPr>
          <w:rFonts w:ascii="Times New Roman" w:hAnsi="Times New Roman"/>
          <w:sz w:val="16"/>
          <w:szCs w:val="16"/>
        </w:rPr>
        <w:t xml:space="preserve">, vol. 16, no. 4, pp. 494-502, Dec. 1957.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A. M. Noren, U. Bogren, J. Bolin, and C. Stenstrom, “Balance assessment in patients with peripheral arthritis: applicability and reliability of some clinical assessments,” </w:t>
      </w:r>
      <w:r w:rsidRPr="00D55901">
        <w:rPr>
          <w:rFonts w:ascii="Times New Roman" w:hAnsi="Times New Roman"/>
          <w:i/>
          <w:iCs/>
          <w:sz w:val="16"/>
          <w:szCs w:val="16"/>
        </w:rPr>
        <w:t>Physiother. Res. Int</w:t>
      </w:r>
      <w:r w:rsidRPr="00D55901">
        <w:rPr>
          <w:rFonts w:ascii="Times New Roman" w:hAnsi="Times New Roman"/>
          <w:sz w:val="16"/>
          <w:szCs w:val="16"/>
        </w:rPr>
        <w:t xml:space="preserve">, vol. 6, no. 4, pp. 193-204, 2001.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D. Podsiadlo, and S. Richardson, “The timed “Up &amp; Go”: a test of basic functional mobility for frail elderly persons,” </w:t>
      </w:r>
      <w:r w:rsidRPr="00D55901">
        <w:rPr>
          <w:rFonts w:ascii="Times New Roman" w:hAnsi="Times New Roman"/>
          <w:i/>
          <w:iCs/>
          <w:sz w:val="16"/>
          <w:szCs w:val="16"/>
        </w:rPr>
        <w:t>J. Am. Geriatr. Soc</w:t>
      </w:r>
      <w:r w:rsidRPr="00D55901">
        <w:rPr>
          <w:rFonts w:ascii="Times New Roman" w:hAnsi="Times New Roman"/>
          <w:sz w:val="16"/>
          <w:szCs w:val="16"/>
        </w:rPr>
        <w:t xml:space="preserve">, vol. 39, no. 2, pp. 142-148, Feb. 1991.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S. R. Piva, A. B. Gil, G. J. Almeida, A. M. 3</w:t>
      </w:r>
      <w:r w:rsidRPr="00D55901">
        <w:rPr>
          <w:rFonts w:ascii="Times New Roman" w:hAnsi="Times New Roman"/>
          <w:sz w:val="16"/>
          <w:szCs w:val="16"/>
          <w:vertAlign w:val="superscript"/>
        </w:rPr>
        <w:t>rd</w:t>
      </w:r>
      <w:r w:rsidRPr="00D55901">
        <w:rPr>
          <w:rFonts w:ascii="Times New Roman" w:hAnsi="Times New Roman"/>
          <w:sz w:val="16"/>
          <w:szCs w:val="16"/>
        </w:rPr>
        <w:t xml:space="preserve">. DiGioia, T. J. Levison, et al., “A balance exercise program appears to improve function for patients with total knee arthroplasty: a randomized clinical trial,” </w:t>
      </w:r>
      <w:r w:rsidRPr="00D55901">
        <w:rPr>
          <w:rFonts w:ascii="Times New Roman" w:hAnsi="Times New Roman"/>
          <w:i/>
          <w:iCs/>
          <w:sz w:val="16"/>
          <w:szCs w:val="16"/>
        </w:rPr>
        <w:t>Phys. Ther</w:t>
      </w:r>
      <w:r w:rsidRPr="00D55901">
        <w:rPr>
          <w:rFonts w:ascii="Times New Roman" w:hAnsi="Times New Roman"/>
          <w:sz w:val="16"/>
          <w:szCs w:val="16"/>
        </w:rPr>
        <w:t xml:space="preserve">, vol. 90, no. 6, pp. 880-894, Jun. 2010.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S. McConnell, P. Kolopack, and A. M. Davis, “The Western Ontario and McMaster Universities Osteoarthritis Index (WOMAC): A review of the utility and measurement properties,” </w:t>
      </w:r>
      <w:r w:rsidRPr="00D55901">
        <w:rPr>
          <w:rFonts w:ascii="Times New Roman" w:hAnsi="Times New Roman"/>
          <w:i/>
          <w:iCs/>
          <w:sz w:val="16"/>
          <w:szCs w:val="16"/>
        </w:rPr>
        <w:t>Arthritis Rheum</w:t>
      </w:r>
      <w:r w:rsidRPr="00D55901">
        <w:rPr>
          <w:rFonts w:ascii="Times New Roman" w:hAnsi="Times New Roman"/>
          <w:sz w:val="16"/>
          <w:szCs w:val="16"/>
        </w:rPr>
        <w:t xml:space="preserve">, vol. 45, no. 5, pp. 453-461, Oct. 2001.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J. E. Stevens, R. L. Mizner, and L. Snyder-Mackler, “Neuromuscular electrical stimulation for quadriceps muscle strengthening after bilateral total knee arthroplasty: a case series,” </w:t>
      </w:r>
      <w:r w:rsidRPr="00D55901">
        <w:rPr>
          <w:rFonts w:ascii="Times New Roman" w:hAnsi="Times New Roman"/>
          <w:i/>
          <w:iCs/>
          <w:sz w:val="16"/>
          <w:szCs w:val="16"/>
        </w:rPr>
        <w:t>J. Orthop. Sports Phys. Ther</w:t>
      </w:r>
      <w:r w:rsidRPr="00D55901">
        <w:rPr>
          <w:rFonts w:ascii="Times New Roman" w:hAnsi="Times New Roman"/>
          <w:sz w:val="16"/>
          <w:szCs w:val="16"/>
        </w:rPr>
        <w:t>, vol. 34, no. 1, pp. 21-29, January 2004.</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J. Romero, T. Stahelin, C. Binkert, C. Pfirrmann, J. Hodler, et al., “The clinical consequences of flexion gap asymmetry in total knee arthroplasty,” </w:t>
      </w:r>
      <w:r w:rsidRPr="00D55901">
        <w:rPr>
          <w:rFonts w:ascii="Times New Roman" w:hAnsi="Times New Roman"/>
          <w:i/>
          <w:iCs/>
          <w:sz w:val="16"/>
          <w:szCs w:val="16"/>
        </w:rPr>
        <w:t>J. Arthroplasty</w:t>
      </w:r>
      <w:r w:rsidRPr="00D55901">
        <w:rPr>
          <w:rFonts w:ascii="Times New Roman" w:hAnsi="Times New Roman"/>
          <w:sz w:val="16"/>
          <w:szCs w:val="16"/>
        </w:rPr>
        <w:t>, vol. 22, no. 2, pp. 235-240, Feb. 2007.</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R. L. Mizner, S. C. Petterson, and L. Snyder-Mackler, “Quadriceps strength and the time course of functional recovery after total knee arthroplasty,” </w:t>
      </w:r>
      <w:r w:rsidRPr="00D55901">
        <w:rPr>
          <w:rFonts w:ascii="Times New Roman" w:hAnsi="Times New Roman"/>
          <w:i/>
          <w:iCs/>
          <w:sz w:val="16"/>
          <w:szCs w:val="16"/>
        </w:rPr>
        <w:t>J. Orthop. Sports Phys. Ther</w:t>
      </w:r>
      <w:r w:rsidRPr="00D55901">
        <w:rPr>
          <w:rFonts w:ascii="Times New Roman" w:hAnsi="Times New Roman"/>
          <w:sz w:val="16"/>
          <w:szCs w:val="16"/>
        </w:rPr>
        <w:t xml:space="preserve">, vol. 35, no. 7, pp. 424-436, Jul. 2005.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R. L. Mizner, S. C. Petterson, K. E. Clements, J. A. Jr. Zeni, J. J. Irrgang, et al., “Measuring functional improvement after total knee arthroplasty requires both performance-based and patient-report assessments: a longitudinal analysis of outcomes,” </w:t>
      </w:r>
      <w:r w:rsidRPr="00D55901">
        <w:rPr>
          <w:rFonts w:ascii="Times New Roman" w:hAnsi="Times New Roman"/>
          <w:i/>
          <w:iCs/>
          <w:sz w:val="16"/>
          <w:szCs w:val="16"/>
        </w:rPr>
        <w:t>J. Arthroplasty</w:t>
      </w:r>
      <w:r w:rsidRPr="00D55901">
        <w:rPr>
          <w:rFonts w:ascii="Times New Roman" w:hAnsi="Times New Roman"/>
          <w:sz w:val="16"/>
          <w:szCs w:val="16"/>
        </w:rPr>
        <w:t xml:space="preserve">, vol. 26, no. 5, pp. 728-737, Aug. 2011.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S. J. Farquhar, D. S. Reisman, and L. Snyder-Mackler, </w:t>
      </w:r>
      <w:r w:rsidRPr="00D55901">
        <w:rPr>
          <w:rFonts w:ascii="Times New Roman" w:hAnsi="Times New Roman"/>
          <w:b/>
          <w:bCs/>
          <w:sz w:val="16"/>
          <w:szCs w:val="16"/>
        </w:rPr>
        <w:t>“</w:t>
      </w:r>
      <w:r w:rsidRPr="00D55901">
        <w:rPr>
          <w:rFonts w:ascii="Times New Roman" w:hAnsi="Times New Roman"/>
          <w:sz w:val="16"/>
          <w:szCs w:val="16"/>
        </w:rPr>
        <w:t xml:space="preserve">Persistence of altered movement patterns during a sit-to-stand task I year following unilateral total knee arthroplasty,” </w:t>
      </w:r>
      <w:r w:rsidRPr="00D55901">
        <w:rPr>
          <w:rFonts w:ascii="Times New Roman" w:hAnsi="Times New Roman"/>
          <w:i/>
          <w:iCs/>
          <w:sz w:val="16"/>
          <w:szCs w:val="16"/>
        </w:rPr>
        <w:t>Phys. Ther,</w:t>
      </w:r>
      <w:r w:rsidRPr="00D55901">
        <w:rPr>
          <w:rFonts w:ascii="Times New Roman" w:hAnsi="Times New Roman"/>
          <w:sz w:val="16"/>
          <w:szCs w:val="16"/>
        </w:rPr>
        <w:t xml:space="preserve"> vol. 88, no. 5, pp. 567-579, May 2008.</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lastRenderedPageBreak/>
        <w:t xml:space="preserve">D. M. Kennedy, P. W. Stratford, D. L. Riddle, S. E. Hanna, and J. D. Gollish, “Assessing recovery and establishing prognosis following total knee arthroplasty,” </w:t>
      </w:r>
      <w:r w:rsidRPr="00D55901">
        <w:rPr>
          <w:rFonts w:ascii="Times New Roman" w:hAnsi="Times New Roman"/>
          <w:i/>
          <w:iCs/>
          <w:sz w:val="16"/>
          <w:szCs w:val="16"/>
        </w:rPr>
        <w:t>Phys. Ther</w:t>
      </w:r>
      <w:r w:rsidRPr="00D55901">
        <w:rPr>
          <w:rFonts w:ascii="Times New Roman" w:hAnsi="Times New Roman"/>
          <w:sz w:val="16"/>
          <w:szCs w:val="16"/>
        </w:rPr>
        <w:t xml:space="preserve">, vol. 88, no. 1, pp. 22-32, Jan. 2008.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G. D. Deyle, S. C. Allison, R. L. Matekel, M. G. Ryder, J. M. Stang, et al., “Physical therapy treatment effectiveness for osteoarthritis of the knee: a randomized comparison of supervised clinical exercise and manual therapy procedures versus a home exercise program,” </w:t>
      </w:r>
      <w:r w:rsidRPr="00D55901">
        <w:rPr>
          <w:rFonts w:ascii="Times New Roman" w:hAnsi="Times New Roman"/>
          <w:i/>
          <w:iCs/>
          <w:sz w:val="16"/>
          <w:szCs w:val="16"/>
        </w:rPr>
        <w:t>Phys. Ther</w:t>
      </w:r>
      <w:r w:rsidRPr="00D55901">
        <w:rPr>
          <w:rFonts w:ascii="Times New Roman" w:hAnsi="Times New Roman"/>
          <w:sz w:val="16"/>
          <w:szCs w:val="16"/>
        </w:rPr>
        <w:t>, vol.</w:t>
      </w:r>
      <w:r w:rsidRPr="00D55901">
        <w:rPr>
          <w:rFonts w:ascii="Times New Roman" w:hAnsi="Times New Roman"/>
          <w:b/>
          <w:bCs/>
          <w:sz w:val="16"/>
          <w:szCs w:val="16"/>
        </w:rPr>
        <w:t xml:space="preserve"> </w:t>
      </w:r>
      <w:r w:rsidRPr="00D55901">
        <w:rPr>
          <w:rFonts w:ascii="Times New Roman" w:hAnsi="Times New Roman"/>
          <w:sz w:val="16"/>
          <w:szCs w:val="16"/>
        </w:rPr>
        <w:t>85, no. 12, pp. 1301 -1317, Dec. 2005.</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R.S. Hinman, S.E. Heywood, and A.R. Day, “Aquatic physical therapy for hip and knee osteoarthritis: results of a single-blind randomized controlled trial,” </w:t>
      </w:r>
      <w:r w:rsidRPr="00D55901">
        <w:rPr>
          <w:rFonts w:ascii="Times New Roman" w:hAnsi="Times New Roman"/>
          <w:i/>
          <w:iCs/>
          <w:sz w:val="16"/>
          <w:szCs w:val="16"/>
        </w:rPr>
        <w:t>Phys. Ther</w:t>
      </w:r>
      <w:r w:rsidRPr="00D55901">
        <w:rPr>
          <w:rFonts w:ascii="Times New Roman" w:hAnsi="Times New Roman"/>
          <w:sz w:val="16"/>
          <w:szCs w:val="16"/>
        </w:rPr>
        <w:t xml:space="preserve">, vol. 87, no. 1, pp. 32-43, Jan. 2007.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G. Jamtvedt, K. T. Dahm, A. Christie, R. H. Moe, E. Haavardsholm, et al., “Physical therapy interventions for patients with osteoarthritis of the knee: an overview of systematic reviews,” </w:t>
      </w:r>
      <w:r w:rsidRPr="00D55901">
        <w:rPr>
          <w:rFonts w:ascii="Times New Roman" w:hAnsi="Times New Roman"/>
          <w:i/>
          <w:iCs/>
          <w:sz w:val="16"/>
          <w:szCs w:val="16"/>
        </w:rPr>
        <w:t>Phys. Ther</w:t>
      </w:r>
      <w:r w:rsidRPr="00D55901">
        <w:rPr>
          <w:rFonts w:ascii="Times New Roman" w:hAnsi="Times New Roman"/>
          <w:sz w:val="16"/>
          <w:szCs w:val="16"/>
        </w:rPr>
        <w:t xml:space="preserve">, vol. 88, </w:t>
      </w:r>
      <w:r w:rsidR="00DA7131" w:rsidRPr="00D55901">
        <w:rPr>
          <w:rFonts w:ascii="Times New Roman" w:hAnsi="Times New Roman"/>
          <w:sz w:val="16"/>
          <w:szCs w:val="16"/>
        </w:rPr>
        <w:t>no</w:t>
      </w:r>
      <w:r w:rsidRPr="00D55901">
        <w:rPr>
          <w:rFonts w:ascii="Times New Roman" w:hAnsi="Times New Roman"/>
          <w:sz w:val="16"/>
          <w:szCs w:val="16"/>
        </w:rPr>
        <w:t xml:space="preserve">. 1, pp. 123-136, Jan. 2008. </w:t>
      </w:r>
    </w:p>
    <w:p w:rsidR="00040642" w:rsidRPr="00D55901" w:rsidRDefault="00040642" w:rsidP="00D55901">
      <w:pPr>
        <w:pStyle w:val="ListParagraph"/>
        <w:numPr>
          <w:ilvl w:val="0"/>
          <w:numId w:val="32"/>
        </w:numPr>
        <w:adjustRightInd w:val="0"/>
        <w:spacing w:before="0"/>
        <w:ind w:left="357" w:hanging="357"/>
        <w:rPr>
          <w:rFonts w:ascii="Times New Roman" w:hAnsi="Times New Roman"/>
          <w:sz w:val="16"/>
          <w:szCs w:val="16"/>
        </w:rPr>
      </w:pPr>
      <w:r w:rsidRPr="00D55901">
        <w:rPr>
          <w:rFonts w:ascii="Times New Roman" w:hAnsi="Times New Roman"/>
          <w:sz w:val="16"/>
          <w:szCs w:val="16"/>
        </w:rPr>
        <w:t xml:space="preserve">M. E. van Baar, W. J. Assendelft, J. Dekker, R. A. Oostendorp, and J. W. Bijlsma, “Effectiveness of exercise therapy in patients with osteoarthritis of the hip or knee: a systematic review of randomized clinical trials,” </w:t>
      </w:r>
      <w:r w:rsidRPr="00D55901">
        <w:rPr>
          <w:rFonts w:ascii="Times New Roman" w:hAnsi="Times New Roman"/>
          <w:i/>
          <w:iCs/>
          <w:sz w:val="16"/>
          <w:szCs w:val="16"/>
        </w:rPr>
        <w:t>Arthritis Rheum</w:t>
      </w:r>
      <w:r w:rsidRPr="00D55901">
        <w:rPr>
          <w:rFonts w:ascii="Times New Roman" w:hAnsi="Times New Roman"/>
          <w:sz w:val="16"/>
          <w:szCs w:val="16"/>
        </w:rPr>
        <w:t xml:space="preserve">, vol. 42, no. 7, pp. 1361-1369, Jul. 1999. </w:t>
      </w:r>
    </w:p>
    <w:p w:rsidR="00040642" w:rsidRPr="00D55901" w:rsidRDefault="00040642" w:rsidP="00D55901">
      <w:pPr>
        <w:pStyle w:val="ListParagraph"/>
        <w:numPr>
          <w:ilvl w:val="0"/>
          <w:numId w:val="32"/>
        </w:numPr>
        <w:spacing w:before="0"/>
        <w:ind w:left="357" w:hanging="357"/>
        <w:rPr>
          <w:rFonts w:ascii="Times New Roman" w:hAnsi="Times New Roman"/>
          <w:sz w:val="16"/>
          <w:szCs w:val="16"/>
        </w:rPr>
      </w:pPr>
      <w:r w:rsidRPr="00D55901">
        <w:rPr>
          <w:rFonts w:ascii="Times New Roman" w:hAnsi="Times New Roman"/>
          <w:sz w:val="16"/>
          <w:szCs w:val="16"/>
        </w:rPr>
        <w:t xml:space="preserve">T. P. Andriacchi, and C. O. Dyrby, “Gait analysis and total knee replacement,” in </w:t>
      </w:r>
      <w:r w:rsidRPr="00D55901">
        <w:rPr>
          <w:rFonts w:ascii="Times New Roman" w:hAnsi="Times New Roman"/>
          <w:i/>
          <w:iCs/>
          <w:sz w:val="16"/>
          <w:szCs w:val="16"/>
        </w:rPr>
        <w:t>Total knee arthroplasty. A guide to get better performance</w:t>
      </w:r>
      <w:r w:rsidRPr="00D55901">
        <w:rPr>
          <w:rFonts w:ascii="Times New Roman" w:hAnsi="Times New Roman"/>
          <w:sz w:val="16"/>
          <w:szCs w:val="16"/>
        </w:rPr>
        <w:t xml:space="preserve">, 1st ed., J. Bellemans et al., Ed. Germany: Springer, 2005, pp. 38-41. </w:t>
      </w:r>
    </w:p>
    <w:p w:rsidR="00040642" w:rsidRPr="00E33E31" w:rsidRDefault="00040642" w:rsidP="00D55901">
      <w:pPr>
        <w:pStyle w:val="ListParagraph"/>
        <w:numPr>
          <w:ilvl w:val="0"/>
          <w:numId w:val="32"/>
        </w:numPr>
        <w:adjustRightInd w:val="0"/>
        <w:spacing w:before="0"/>
        <w:ind w:left="357" w:hanging="357"/>
        <w:rPr>
          <w:bCs/>
        </w:rPr>
      </w:pPr>
      <w:r w:rsidRPr="00D55901">
        <w:rPr>
          <w:rFonts w:ascii="Times New Roman" w:hAnsi="Times New Roman"/>
          <w:sz w:val="16"/>
          <w:szCs w:val="16"/>
        </w:rPr>
        <w:t xml:space="preserve">A. A. Bolanos, W. A. Colizza, P. D. McCann, R. S. Gotlin, M. E. Wootten, et al., “A comparison of isokinetic strength testing and gait analysis in patients with posterior cruciate-retaining and substituting knee arthroplasties,” </w:t>
      </w:r>
      <w:r w:rsidRPr="00D55901">
        <w:rPr>
          <w:rFonts w:ascii="Times New Roman" w:hAnsi="Times New Roman"/>
          <w:i/>
          <w:iCs/>
          <w:sz w:val="16"/>
          <w:szCs w:val="16"/>
        </w:rPr>
        <w:t>J. Arthroplasty</w:t>
      </w:r>
      <w:r w:rsidRPr="00D55901">
        <w:rPr>
          <w:rFonts w:ascii="Times New Roman" w:hAnsi="Times New Roman"/>
          <w:sz w:val="16"/>
          <w:szCs w:val="16"/>
        </w:rPr>
        <w:t>, vol. 13, no. 8, pp. 906-915, Dec. 1998.</w:t>
      </w:r>
    </w:p>
    <w:sectPr w:rsidR="00040642" w:rsidRPr="00E33E31" w:rsidSect="004057A0">
      <w:type w:val="continuous"/>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11" w:rsidRDefault="00357D11">
      <w:r>
        <w:separator/>
      </w:r>
    </w:p>
  </w:endnote>
  <w:endnote w:type="continuationSeparator" w:id="1">
    <w:p w:rsidR="00357D11" w:rsidRDefault="00357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SMinionPlus">
    <w:altName w:val="Arial Unicode MS"/>
    <w:panose1 w:val="00000000000000000000"/>
    <w:charset w:val="81"/>
    <w:family w:val="auto"/>
    <w:notTrueType/>
    <w:pitch w:val="default"/>
    <w:sig w:usb0="00000001" w:usb1="09060000" w:usb2="00000010" w:usb3="00000000" w:csb0="00080000" w:csb1="00000000"/>
  </w:font>
  <w:font w:name="SMyriad-Light">
    <w:altName w:val="Arial Unicode MS"/>
    <w:panose1 w:val="00000000000000000000"/>
    <w:charset w:val="80"/>
    <w:family w:val="auto"/>
    <w:notTrueType/>
    <w:pitch w:val="default"/>
    <w:sig w:usb0="00000001" w:usb1="08070000" w:usb2="00000010" w:usb3="00000000" w:csb0="00020000" w:csb1="00000000"/>
  </w:font>
  <w:font w:name="AGaramond-Regular">
    <w:altName w:val="Arial Unicode MS"/>
    <w:panose1 w:val="00000000000000000000"/>
    <w:charset w:val="80"/>
    <w:family w:val="auto"/>
    <w:notTrueType/>
    <w:pitch w:val="default"/>
    <w:sig w:usb0="00000001" w:usb1="08070000" w:usb2="00000010" w:usb3="00000000" w:csb0="00020000" w:csb1="00000000"/>
  </w:font>
  <w:font w:name="AdvP4DF60E">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D3" w:rsidRDefault="00E44A7D" w:rsidP="00B427DA">
    <w:pPr>
      <w:pStyle w:val="Footer"/>
      <w:framePr w:wrap="around" w:vAnchor="text" w:hAnchor="margin" w:xAlign="center" w:y="1"/>
      <w:rPr>
        <w:rStyle w:val="PageNumber"/>
      </w:rPr>
    </w:pPr>
    <w:r>
      <w:rPr>
        <w:rStyle w:val="PageNumber"/>
      </w:rPr>
      <w:fldChar w:fldCharType="begin"/>
    </w:r>
    <w:r w:rsidR="00DE4BD3">
      <w:rPr>
        <w:rStyle w:val="PageNumber"/>
      </w:rPr>
      <w:instrText xml:space="preserve">PAGE  </w:instrText>
    </w:r>
    <w:r>
      <w:rPr>
        <w:rStyle w:val="PageNumber"/>
      </w:rPr>
      <w:fldChar w:fldCharType="end"/>
    </w:r>
  </w:p>
  <w:p w:rsidR="00DE4BD3" w:rsidRDefault="00DE4B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02" w:rsidRPr="00DE4BD3" w:rsidRDefault="00116E02" w:rsidP="00DE4BD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11" w:rsidRDefault="00357D11"/>
  </w:footnote>
  <w:footnote w:type="continuationSeparator" w:id="1">
    <w:p w:rsidR="00357D11" w:rsidRDefault="00357D11">
      <w:r>
        <w:continuationSeparator/>
      </w:r>
    </w:p>
  </w:footnote>
  <w:footnote w:id="2">
    <w:p w:rsidR="00F54DA3" w:rsidRDefault="00305AE8" w:rsidP="007257C6">
      <w:pPr>
        <w:pStyle w:val="FootnoteText"/>
        <w:ind w:firstLine="204"/>
      </w:pPr>
      <w:r>
        <w:t>A</w:t>
      </w:r>
      <w:r w:rsidR="00F54DA3">
        <w:t xml:space="preserve">. </w:t>
      </w:r>
      <w:r>
        <w:t>R</w:t>
      </w:r>
      <w:r w:rsidR="00F54DA3">
        <w:t>.</w:t>
      </w:r>
      <w:r w:rsidR="00F87210">
        <w:t xml:space="preserve"> </w:t>
      </w:r>
      <w:r>
        <w:t>Z.</w:t>
      </w:r>
      <w:r w:rsidR="00F87210">
        <w:t xml:space="preserve"> </w:t>
      </w:r>
      <w:r w:rsidRPr="00F87210">
        <w:t>Baghdadi</w:t>
      </w:r>
      <w:r w:rsidR="00B5386F" w:rsidRPr="00F87210">
        <w:t>,</w:t>
      </w:r>
      <w:r w:rsidR="00F54DA3">
        <w:t xml:space="preserve"> is with the </w:t>
      </w:r>
      <w:r>
        <w:t xml:space="preserve">Department of Physical Therapy for </w:t>
      </w:r>
      <w:r w:rsidR="00537B6A">
        <w:t>the Musculoskeletal Disorders</w:t>
      </w:r>
      <w:r>
        <w:t>, Faculty of Physical Therapy, Cairo University, Egypt</w:t>
      </w:r>
      <w:r w:rsidR="00F54DA3">
        <w:t xml:space="preserve"> (phone: </w:t>
      </w:r>
      <w:r>
        <w:t>020-101-004-4379</w:t>
      </w:r>
      <w:r w:rsidR="00F54DA3">
        <w:t xml:space="preserve">; e-mail: </w:t>
      </w:r>
      <w:r w:rsidRPr="00367792">
        <w:t>remopt</w:t>
      </w:r>
      <w:r w:rsidR="00367792" w:rsidRPr="00367792">
        <w:t>2012</w:t>
      </w:r>
      <w:r w:rsidR="00F54DA3" w:rsidRPr="00367792">
        <w:t xml:space="preserve">@ </w:t>
      </w:r>
      <w:r w:rsidRPr="00367792">
        <w:t>yahoo.com</w:t>
      </w:r>
      <w:r w:rsidR="00F54DA3" w:rsidRPr="00367792">
        <w:t>)</w:t>
      </w:r>
      <w:r w:rsidR="00F54DA3">
        <w:t xml:space="preserve">. </w:t>
      </w:r>
    </w:p>
    <w:p w:rsidR="00F54DA3" w:rsidRDefault="00B5386F" w:rsidP="007257C6">
      <w:pPr>
        <w:pStyle w:val="FootnoteText"/>
        <w:ind w:firstLine="204"/>
      </w:pPr>
      <w:r>
        <w:t>A</w:t>
      </w:r>
      <w:r w:rsidR="00F54DA3">
        <w:t xml:space="preserve">. </w:t>
      </w:r>
      <w:r>
        <w:t>A</w:t>
      </w:r>
      <w:r w:rsidR="00F54DA3">
        <w:t>.</w:t>
      </w:r>
      <w:r w:rsidR="00F87210">
        <w:t xml:space="preserve"> </w:t>
      </w:r>
      <w:r>
        <w:t>A.</w:t>
      </w:r>
      <w:r w:rsidR="00F87210">
        <w:t xml:space="preserve"> </w:t>
      </w:r>
      <w:r w:rsidR="00F54DA3">
        <w:t>A</w:t>
      </w:r>
      <w:r>
        <w:t>bdallah</w:t>
      </w:r>
      <w:r w:rsidRPr="00F87210">
        <w:t>,</w:t>
      </w:r>
      <w:r w:rsidR="00F87210">
        <w:t xml:space="preserve"> </w:t>
      </w:r>
      <w:r>
        <w:t>i</w:t>
      </w:r>
      <w:r w:rsidR="00F54DA3">
        <w:t xml:space="preserve">s with </w:t>
      </w:r>
      <w:r>
        <w:t>the Department of Biomechanics,</w:t>
      </w:r>
      <w:r w:rsidR="00F87210">
        <w:t xml:space="preserve"> </w:t>
      </w:r>
      <w:r>
        <w:t xml:space="preserve">Faculty of Physical Therapy, Cairo University, Egypt </w:t>
      </w:r>
      <w:r w:rsidR="00F54DA3">
        <w:t xml:space="preserve">(e-mail: </w:t>
      </w:r>
      <w:r>
        <w:t>dramira_abdallah@hotmail.com</w:t>
      </w:r>
      <w:r w:rsidR="00F54DA3">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A3" w:rsidRDefault="00F54DA3">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650E4F6"/>
    <w:lvl w:ilvl="0">
      <w:start w:val="1"/>
      <w:numFmt w:val="upperRoman"/>
      <w:pStyle w:val="Heading1"/>
      <w:lvlText w:val="%1."/>
      <w:lvlJc w:val="left"/>
      <w:pPr>
        <w:ind w:left="708" w:firstLine="0"/>
      </w:pPr>
      <w:rPr>
        <w:rFonts w:hint="default"/>
      </w:rPr>
    </w:lvl>
    <w:lvl w:ilvl="1">
      <w:start w:val="1"/>
      <w:numFmt w:val="upperLetter"/>
      <w:pStyle w:val="Heading2"/>
      <w:lvlText w:val="%2."/>
      <w:lvlJc w:val="left"/>
      <w:pPr>
        <w:ind w:left="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nsid w:val="03E06445"/>
    <w:multiLevelType w:val="hybridMultilevel"/>
    <w:tmpl w:val="E2BC0B9C"/>
    <w:lvl w:ilvl="0" w:tplc="BB38C6DC">
      <w:start w:val="1"/>
      <w:numFmt w:val="decimal"/>
      <w:lvlText w:val="[%1]"/>
      <w:lvlJc w:val="left"/>
      <w:pPr>
        <w:ind w:left="36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B1D66"/>
    <w:multiLevelType w:val="singleLevel"/>
    <w:tmpl w:val="0BEC9FB0"/>
    <w:lvl w:ilvl="0">
      <w:start w:val="1"/>
      <w:numFmt w:val="none"/>
      <w:lvlText w:val=""/>
      <w:legacy w:legacy="1" w:legacySpace="0" w:legacyIndent="0"/>
      <w:lvlJc w:val="left"/>
      <w:pPr>
        <w:ind w:left="288"/>
      </w:pPr>
    </w:lvl>
  </w:abstractNum>
  <w:abstractNum w:abstractNumId="7">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7274C"/>
    <w:multiLevelType w:val="singleLevel"/>
    <w:tmpl w:val="04090011"/>
    <w:lvl w:ilvl="0">
      <w:start w:val="1"/>
      <w:numFmt w:val="decimal"/>
      <w:lvlText w:val="%1)"/>
      <w:lvlJc w:val="left"/>
      <w:pPr>
        <w:tabs>
          <w:tab w:val="num" w:pos="360"/>
        </w:tabs>
        <w:ind w:left="360" w:hanging="360"/>
      </w:pPr>
    </w:lvl>
  </w:abstractNum>
  <w:abstractNum w:abstractNumId="9">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34D8B"/>
    <w:multiLevelType w:val="singleLevel"/>
    <w:tmpl w:val="0409000F"/>
    <w:lvl w:ilvl="0">
      <w:start w:val="1"/>
      <w:numFmt w:val="decimal"/>
      <w:lvlText w:val="%1."/>
      <w:lvlJc w:val="left"/>
      <w:pPr>
        <w:tabs>
          <w:tab w:val="num" w:pos="360"/>
        </w:tabs>
        <w:ind w:left="360" w:hanging="360"/>
      </w:pPr>
    </w:lvl>
  </w:abstractNum>
  <w:abstractNum w:abstractNumId="11">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C1CFC"/>
    <w:multiLevelType w:val="singleLevel"/>
    <w:tmpl w:val="3A8EC28E"/>
    <w:lvl w:ilvl="0">
      <w:start w:val="1"/>
      <w:numFmt w:val="decimal"/>
      <w:lvlText w:val="[%1]"/>
      <w:lvlJc w:val="left"/>
      <w:pPr>
        <w:tabs>
          <w:tab w:val="num" w:pos="360"/>
        </w:tabs>
        <w:ind w:left="360" w:hanging="360"/>
      </w:pPr>
    </w:lvl>
  </w:abstractNum>
  <w:abstractNum w:abstractNumId="14">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nsid w:val="4D0B59CF"/>
    <w:multiLevelType w:val="singleLevel"/>
    <w:tmpl w:val="4A4223A6"/>
    <w:lvl w:ilvl="0">
      <w:start w:val="1"/>
      <w:numFmt w:val="decimal"/>
      <w:lvlText w:val="%1."/>
      <w:legacy w:legacy="1" w:legacySpace="0" w:legacyIndent="360"/>
      <w:lvlJc w:val="left"/>
      <w:pPr>
        <w:ind w:left="360" w:hanging="360"/>
      </w:pPr>
    </w:lvl>
  </w:abstractNum>
  <w:abstractNum w:abstractNumId="16">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7">
    <w:nsid w:val="55630736"/>
    <w:multiLevelType w:val="singleLevel"/>
    <w:tmpl w:val="0BEC9FB0"/>
    <w:lvl w:ilvl="0">
      <w:start w:val="1"/>
      <w:numFmt w:val="none"/>
      <w:lvlText w:val=""/>
      <w:legacy w:legacy="1" w:legacySpace="0" w:legacyIndent="0"/>
      <w:lvlJc w:val="left"/>
      <w:pPr>
        <w:ind w:left="288"/>
      </w:pPr>
    </w:lvl>
  </w:abstractNum>
  <w:abstractNum w:abstractNumId="18">
    <w:nsid w:val="6DC3293B"/>
    <w:multiLevelType w:val="singleLevel"/>
    <w:tmpl w:val="3A8EC28E"/>
    <w:lvl w:ilvl="0">
      <w:start w:val="1"/>
      <w:numFmt w:val="decimal"/>
      <w:lvlText w:val="[%1]"/>
      <w:lvlJc w:val="left"/>
      <w:pPr>
        <w:tabs>
          <w:tab w:val="num" w:pos="360"/>
        </w:tabs>
        <w:ind w:left="360" w:hanging="360"/>
      </w:pPr>
    </w:lvl>
  </w:abstractNum>
  <w:abstractNum w:abstractNumId="19">
    <w:nsid w:val="77E315E9"/>
    <w:multiLevelType w:val="singleLevel"/>
    <w:tmpl w:val="0BEC9FB0"/>
    <w:lvl w:ilvl="0">
      <w:start w:val="1"/>
      <w:numFmt w:val="none"/>
      <w:lvlText w:val=""/>
      <w:legacy w:legacy="1" w:legacySpace="0" w:legacyIndent="0"/>
      <w:lvlJc w:val="left"/>
      <w:pPr>
        <w:ind w:left="288"/>
      </w:pPr>
    </w:lvl>
  </w:abstractNum>
  <w:abstractNum w:abstractNumId="2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1"/>
    <w:lvlOverride w:ilvl="0">
      <w:lvl w:ilvl="0">
        <w:start w:val="1"/>
        <w:numFmt w:val="decimal"/>
        <w:lvlText w:val="%1."/>
        <w:legacy w:legacy="1" w:legacySpace="0" w:legacyIndent="360"/>
        <w:lvlJc w:val="left"/>
        <w:pPr>
          <w:ind w:left="360" w:hanging="360"/>
        </w:pPr>
      </w:lvl>
    </w:lvlOverride>
  </w:num>
  <w:num w:numId="4">
    <w:abstractNumId w:val="11"/>
    <w:lvlOverride w:ilvl="0">
      <w:lvl w:ilvl="0">
        <w:start w:val="1"/>
        <w:numFmt w:val="decimal"/>
        <w:lvlText w:val="%1."/>
        <w:legacy w:legacy="1" w:legacySpace="0" w:legacyIndent="360"/>
        <w:lvlJc w:val="left"/>
        <w:pPr>
          <w:ind w:left="360" w:hanging="360"/>
        </w:pPr>
      </w:lvl>
    </w:lvlOverride>
  </w:num>
  <w:num w:numId="5">
    <w:abstractNumId w:val="11"/>
    <w:lvlOverride w:ilvl="0">
      <w:lvl w:ilvl="0">
        <w:start w:val="1"/>
        <w:numFmt w:val="decimal"/>
        <w:lvlText w:val="%1."/>
        <w:legacy w:legacy="1" w:legacySpace="0" w:legacyIndent="360"/>
        <w:lvlJc w:val="left"/>
        <w:pPr>
          <w:ind w:left="360" w:hanging="360"/>
        </w:pPr>
      </w:lvl>
    </w:lvlOverride>
  </w:num>
  <w:num w:numId="6">
    <w:abstractNumId w:val="14"/>
  </w:num>
  <w:num w:numId="7">
    <w:abstractNumId w:val="14"/>
    <w:lvlOverride w:ilvl="0">
      <w:lvl w:ilvl="0">
        <w:start w:val="1"/>
        <w:numFmt w:val="decimal"/>
        <w:lvlText w:val="%1."/>
        <w:legacy w:legacy="1" w:legacySpace="0" w:legacyIndent="360"/>
        <w:lvlJc w:val="left"/>
        <w:pPr>
          <w:ind w:left="360" w:hanging="360"/>
        </w:pPr>
      </w:lvl>
    </w:lvlOverride>
  </w:num>
  <w:num w:numId="8">
    <w:abstractNumId w:val="14"/>
    <w:lvlOverride w:ilvl="0">
      <w:lvl w:ilvl="0">
        <w:start w:val="1"/>
        <w:numFmt w:val="decimal"/>
        <w:lvlText w:val="%1."/>
        <w:legacy w:legacy="1" w:legacySpace="0" w:legacyIndent="360"/>
        <w:lvlJc w:val="left"/>
        <w:pPr>
          <w:ind w:left="360" w:hanging="360"/>
        </w:pPr>
      </w:lvl>
    </w:lvlOverride>
  </w:num>
  <w:num w:numId="9">
    <w:abstractNumId w:val="14"/>
    <w:lvlOverride w:ilvl="0">
      <w:lvl w:ilvl="0">
        <w:start w:val="1"/>
        <w:numFmt w:val="decimal"/>
        <w:lvlText w:val="%1."/>
        <w:legacy w:legacy="1" w:legacySpace="0" w:legacyIndent="360"/>
        <w:lvlJc w:val="left"/>
        <w:pPr>
          <w:ind w:left="360" w:hanging="360"/>
        </w:pPr>
      </w:lvl>
    </w:lvlOverride>
  </w:num>
  <w:num w:numId="10">
    <w:abstractNumId w:val="14"/>
    <w:lvlOverride w:ilvl="0">
      <w:lvl w:ilvl="0">
        <w:start w:val="1"/>
        <w:numFmt w:val="decimal"/>
        <w:lvlText w:val="%1."/>
        <w:legacy w:legacy="1" w:legacySpace="0" w:legacyIndent="360"/>
        <w:lvlJc w:val="left"/>
        <w:pPr>
          <w:ind w:left="360" w:hanging="360"/>
        </w:pPr>
      </w:lvl>
    </w:lvlOverride>
  </w:num>
  <w:num w:numId="11">
    <w:abstractNumId w:val="14"/>
    <w:lvlOverride w:ilvl="0">
      <w:lvl w:ilvl="0">
        <w:start w:val="1"/>
        <w:numFmt w:val="decimal"/>
        <w:lvlText w:val="%1."/>
        <w:legacy w:legacy="1" w:legacySpace="0" w:legacyIndent="360"/>
        <w:lvlJc w:val="left"/>
        <w:pPr>
          <w:ind w:left="360" w:hanging="360"/>
        </w:pPr>
      </w:lvl>
    </w:lvlOverride>
  </w:num>
  <w:num w:numId="12">
    <w:abstractNumId w:val="12"/>
  </w:num>
  <w:num w:numId="13">
    <w:abstractNumId w:val="6"/>
  </w:num>
  <w:num w:numId="14">
    <w:abstractNumId w:val="17"/>
  </w:num>
  <w:num w:numId="15">
    <w:abstractNumId w:val="15"/>
  </w:num>
  <w:num w:numId="16">
    <w:abstractNumId w:val="19"/>
  </w:num>
  <w:num w:numId="17">
    <w:abstractNumId w:val="10"/>
  </w:num>
  <w:num w:numId="18">
    <w:abstractNumId w:val="8"/>
  </w:num>
  <w:num w:numId="19">
    <w:abstractNumId w:val="18"/>
  </w:num>
  <w:num w:numId="20">
    <w:abstractNumId w:val="13"/>
  </w:num>
  <w:num w:numId="21">
    <w:abstractNumId w:val="16"/>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num>
  <w:num w:numId="26">
    <w:abstractNumId w:val="20"/>
  </w:num>
  <w:num w:numId="27">
    <w:abstractNumId w:val="21"/>
  </w:num>
  <w:num w:numId="28">
    <w:abstractNumId w:val="5"/>
  </w:num>
  <w:num w:numId="29">
    <w:abstractNumId w:val="7"/>
  </w:num>
  <w:num w:numId="30">
    <w:abstractNumId w:val="4"/>
  </w:num>
  <w:num w:numId="31">
    <w:abstractNumId w:val="0"/>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202"/>
  <w:doNotHyphenateCaps/>
  <w:drawingGridHorizontalSpacing w:val="100"/>
  <w:drawingGridVerticalSpacing w:val="120"/>
  <w:displayHorizontalDrawingGridEvery w:val="0"/>
  <w:displayVerticalDrawingGridEvery w:val="3"/>
  <w:characterSpacingControl w:val="compressPunctuation"/>
  <w:footnotePr>
    <w:footnote w:id="0"/>
    <w:footnote w:id="1"/>
  </w:footnotePr>
  <w:endnotePr>
    <w:endnote w:id="0"/>
    <w:endnote w:id="1"/>
  </w:endnotePr>
  <w:compat/>
  <w:rsids>
    <w:rsidRoot w:val="00E265FB"/>
    <w:rsid w:val="00000371"/>
    <w:rsid w:val="00000B22"/>
    <w:rsid w:val="00000EB5"/>
    <w:rsid w:val="0000381D"/>
    <w:rsid w:val="00013665"/>
    <w:rsid w:val="0001374B"/>
    <w:rsid w:val="00016112"/>
    <w:rsid w:val="00017B82"/>
    <w:rsid w:val="000229B5"/>
    <w:rsid w:val="00030910"/>
    <w:rsid w:val="00032644"/>
    <w:rsid w:val="000345CC"/>
    <w:rsid w:val="00034A69"/>
    <w:rsid w:val="00040642"/>
    <w:rsid w:val="000421A7"/>
    <w:rsid w:val="0004672E"/>
    <w:rsid w:val="000543AD"/>
    <w:rsid w:val="000735B8"/>
    <w:rsid w:val="000805AE"/>
    <w:rsid w:val="00084033"/>
    <w:rsid w:val="0008455E"/>
    <w:rsid w:val="0008541A"/>
    <w:rsid w:val="00092639"/>
    <w:rsid w:val="00092798"/>
    <w:rsid w:val="000A555D"/>
    <w:rsid w:val="000A62A0"/>
    <w:rsid w:val="000A77BE"/>
    <w:rsid w:val="000B0EEF"/>
    <w:rsid w:val="000B5AAA"/>
    <w:rsid w:val="000C1927"/>
    <w:rsid w:val="000C1B1A"/>
    <w:rsid w:val="000D4CD1"/>
    <w:rsid w:val="000D7674"/>
    <w:rsid w:val="000E15D8"/>
    <w:rsid w:val="000E1787"/>
    <w:rsid w:val="000F12D1"/>
    <w:rsid w:val="000F218A"/>
    <w:rsid w:val="000F4E62"/>
    <w:rsid w:val="000F7058"/>
    <w:rsid w:val="000F7C18"/>
    <w:rsid w:val="00101250"/>
    <w:rsid w:val="0010250E"/>
    <w:rsid w:val="00103E6D"/>
    <w:rsid w:val="00104449"/>
    <w:rsid w:val="00107AFA"/>
    <w:rsid w:val="00110E5D"/>
    <w:rsid w:val="00112CD5"/>
    <w:rsid w:val="0011454B"/>
    <w:rsid w:val="001156AE"/>
    <w:rsid w:val="00116E02"/>
    <w:rsid w:val="00121FBB"/>
    <w:rsid w:val="00125459"/>
    <w:rsid w:val="00140EB4"/>
    <w:rsid w:val="00141256"/>
    <w:rsid w:val="00145567"/>
    <w:rsid w:val="00145B38"/>
    <w:rsid w:val="00146CF9"/>
    <w:rsid w:val="00153C8F"/>
    <w:rsid w:val="00156572"/>
    <w:rsid w:val="00160E86"/>
    <w:rsid w:val="0016433A"/>
    <w:rsid w:val="00164F26"/>
    <w:rsid w:val="001727A4"/>
    <w:rsid w:val="00174E63"/>
    <w:rsid w:val="00176BFC"/>
    <w:rsid w:val="001815BF"/>
    <w:rsid w:val="00182E7D"/>
    <w:rsid w:val="001835FD"/>
    <w:rsid w:val="001A111D"/>
    <w:rsid w:val="001B1427"/>
    <w:rsid w:val="001B5068"/>
    <w:rsid w:val="001B5993"/>
    <w:rsid w:val="001C4936"/>
    <w:rsid w:val="001C74C6"/>
    <w:rsid w:val="001D3CD4"/>
    <w:rsid w:val="001D68BC"/>
    <w:rsid w:val="001E2C06"/>
    <w:rsid w:val="001E3E3C"/>
    <w:rsid w:val="001E46A1"/>
    <w:rsid w:val="001E486C"/>
    <w:rsid w:val="001E692C"/>
    <w:rsid w:val="001E6D6F"/>
    <w:rsid w:val="001E7BEF"/>
    <w:rsid w:val="001F300F"/>
    <w:rsid w:val="001F4E42"/>
    <w:rsid w:val="001F70FE"/>
    <w:rsid w:val="00202EFB"/>
    <w:rsid w:val="00206FBA"/>
    <w:rsid w:val="00207107"/>
    <w:rsid w:val="00216B2E"/>
    <w:rsid w:val="0022190F"/>
    <w:rsid w:val="00221C1F"/>
    <w:rsid w:val="00221F5D"/>
    <w:rsid w:val="00230AD0"/>
    <w:rsid w:val="00242270"/>
    <w:rsid w:val="002518C7"/>
    <w:rsid w:val="002620F0"/>
    <w:rsid w:val="00266994"/>
    <w:rsid w:val="002708E3"/>
    <w:rsid w:val="00270B67"/>
    <w:rsid w:val="00270C9B"/>
    <w:rsid w:val="00283231"/>
    <w:rsid w:val="002879F2"/>
    <w:rsid w:val="00296B74"/>
    <w:rsid w:val="002A180F"/>
    <w:rsid w:val="002A4CA9"/>
    <w:rsid w:val="002A63BB"/>
    <w:rsid w:val="002B2D98"/>
    <w:rsid w:val="002B3009"/>
    <w:rsid w:val="002B5BCC"/>
    <w:rsid w:val="002B7439"/>
    <w:rsid w:val="002C0C65"/>
    <w:rsid w:val="002C1508"/>
    <w:rsid w:val="002C3545"/>
    <w:rsid w:val="002C38C2"/>
    <w:rsid w:val="002D1D0C"/>
    <w:rsid w:val="002D7082"/>
    <w:rsid w:val="002E15C2"/>
    <w:rsid w:val="002E4F2A"/>
    <w:rsid w:val="002E5141"/>
    <w:rsid w:val="002E5CD3"/>
    <w:rsid w:val="002E76B1"/>
    <w:rsid w:val="002F1D18"/>
    <w:rsid w:val="003017E7"/>
    <w:rsid w:val="00302B24"/>
    <w:rsid w:val="00305AE8"/>
    <w:rsid w:val="00322E33"/>
    <w:rsid w:val="00326698"/>
    <w:rsid w:val="003275D5"/>
    <w:rsid w:val="00334648"/>
    <w:rsid w:val="003347D6"/>
    <w:rsid w:val="00340841"/>
    <w:rsid w:val="00345EA6"/>
    <w:rsid w:val="00351824"/>
    <w:rsid w:val="00354564"/>
    <w:rsid w:val="00357D11"/>
    <w:rsid w:val="0036004E"/>
    <w:rsid w:val="0036276D"/>
    <w:rsid w:val="00365764"/>
    <w:rsid w:val="00367792"/>
    <w:rsid w:val="00367938"/>
    <w:rsid w:val="00380991"/>
    <w:rsid w:val="00393F06"/>
    <w:rsid w:val="003A05CA"/>
    <w:rsid w:val="003A3203"/>
    <w:rsid w:val="003A56BE"/>
    <w:rsid w:val="003A62CF"/>
    <w:rsid w:val="003C2B3D"/>
    <w:rsid w:val="003C2DED"/>
    <w:rsid w:val="003C33D3"/>
    <w:rsid w:val="003D3705"/>
    <w:rsid w:val="003D5056"/>
    <w:rsid w:val="003E60BB"/>
    <w:rsid w:val="003F0936"/>
    <w:rsid w:val="003F1230"/>
    <w:rsid w:val="003F2452"/>
    <w:rsid w:val="003F45E5"/>
    <w:rsid w:val="00400AB5"/>
    <w:rsid w:val="00404987"/>
    <w:rsid w:val="004057A0"/>
    <w:rsid w:val="00406666"/>
    <w:rsid w:val="00406B97"/>
    <w:rsid w:val="004103B0"/>
    <w:rsid w:val="00411077"/>
    <w:rsid w:val="00415249"/>
    <w:rsid w:val="004163AF"/>
    <w:rsid w:val="00416854"/>
    <w:rsid w:val="004201D0"/>
    <w:rsid w:val="00422F9C"/>
    <w:rsid w:val="004233A7"/>
    <w:rsid w:val="00426AED"/>
    <w:rsid w:val="00444C1B"/>
    <w:rsid w:val="00445692"/>
    <w:rsid w:val="00446CD3"/>
    <w:rsid w:val="00450AAB"/>
    <w:rsid w:val="00450D50"/>
    <w:rsid w:val="00452094"/>
    <w:rsid w:val="00454238"/>
    <w:rsid w:val="00465BBE"/>
    <w:rsid w:val="00467C42"/>
    <w:rsid w:val="00475161"/>
    <w:rsid w:val="004765EC"/>
    <w:rsid w:val="004808EB"/>
    <w:rsid w:val="00480A20"/>
    <w:rsid w:val="0048111D"/>
    <w:rsid w:val="00491A33"/>
    <w:rsid w:val="004A0EF2"/>
    <w:rsid w:val="004B4983"/>
    <w:rsid w:val="004C26D0"/>
    <w:rsid w:val="004D137B"/>
    <w:rsid w:val="004D223C"/>
    <w:rsid w:val="004E39D8"/>
    <w:rsid w:val="004F0E27"/>
    <w:rsid w:val="004F2F0E"/>
    <w:rsid w:val="004F5826"/>
    <w:rsid w:val="0051068A"/>
    <w:rsid w:val="00526DAF"/>
    <w:rsid w:val="00534F29"/>
    <w:rsid w:val="005372E5"/>
    <w:rsid w:val="00537B6A"/>
    <w:rsid w:val="00557679"/>
    <w:rsid w:val="00560DBB"/>
    <w:rsid w:val="00564302"/>
    <w:rsid w:val="0057260A"/>
    <w:rsid w:val="00572763"/>
    <w:rsid w:val="00573338"/>
    <w:rsid w:val="00573A2F"/>
    <w:rsid w:val="00581932"/>
    <w:rsid w:val="00583069"/>
    <w:rsid w:val="0059277B"/>
    <w:rsid w:val="00592B5F"/>
    <w:rsid w:val="005A03BD"/>
    <w:rsid w:val="005A1023"/>
    <w:rsid w:val="005A41C7"/>
    <w:rsid w:val="005A43E8"/>
    <w:rsid w:val="005A7CBF"/>
    <w:rsid w:val="005B3FF4"/>
    <w:rsid w:val="005B6BDC"/>
    <w:rsid w:val="005C4442"/>
    <w:rsid w:val="005C5F3E"/>
    <w:rsid w:val="005C6162"/>
    <w:rsid w:val="005D5E2A"/>
    <w:rsid w:val="005E14F7"/>
    <w:rsid w:val="005E206E"/>
    <w:rsid w:val="005E244D"/>
    <w:rsid w:val="005F5B34"/>
    <w:rsid w:val="005F68DC"/>
    <w:rsid w:val="005F6B2D"/>
    <w:rsid w:val="005F6B8B"/>
    <w:rsid w:val="006068A8"/>
    <w:rsid w:val="00610641"/>
    <w:rsid w:val="00616908"/>
    <w:rsid w:val="006230DF"/>
    <w:rsid w:val="00632194"/>
    <w:rsid w:val="00632D8B"/>
    <w:rsid w:val="0063643B"/>
    <w:rsid w:val="00636539"/>
    <w:rsid w:val="00642F89"/>
    <w:rsid w:val="00645905"/>
    <w:rsid w:val="00646321"/>
    <w:rsid w:val="00646903"/>
    <w:rsid w:val="00650280"/>
    <w:rsid w:val="00653D9A"/>
    <w:rsid w:val="006547DD"/>
    <w:rsid w:val="0066051E"/>
    <w:rsid w:val="00661643"/>
    <w:rsid w:val="0066340A"/>
    <w:rsid w:val="0066405B"/>
    <w:rsid w:val="00665353"/>
    <w:rsid w:val="00684B21"/>
    <w:rsid w:val="00685CDA"/>
    <w:rsid w:val="00686739"/>
    <w:rsid w:val="006934F5"/>
    <w:rsid w:val="006A076D"/>
    <w:rsid w:val="006B2639"/>
    <w:rsid w:val="006C0025"/>
    <w:rsid w:val="006C7ED0"/>
    <w:rsid w:val="006D1B02"/>
    <w:rsid w:val="006D212D"/>
    <w:rsid w:val="006D2234"/>
    <w:rsid w:val="006D3A4C"/>
    <w:rsid w:val="006E413B"/>
    <w:rsid w:val="006E466F"/>
    <w:rsid w:val="006E48D0"/>
    <w:rsid w:val="006F6E06"/>
    <w:rsid w:val="00706C19"/>
    <w:rsid w:val="0071133C"/>
    <w:rsid w:val="00721B8E"/>
    <w:rsid w:val="007257C6"/>
    <w:rsid w:val="00731CB1"/>
    <w:rsid w:val="00734D27"/>
    <w:rsid w:val="00740638"/>
    <w:rsid w:val="0074510A"/>
    <w:rsid w:val="00756D78"/>
    <w:rsid w:val="00760AE9"/>
    <w:rsid w:val="00764547"/>
    <w:rsid w:val="00775DC9"/>
    <w:rsid w:val="007766EB"/>
    <w:rsid w:val="0079201E"/>
    <w:rsid w:val="00793FDB"/>
    <w:rsid w:val="007C0593"/>
    <w:rsid w:val="007C19B9"/>
    <w:rsid w:val="007E1558"/>
    <w:rsid w:val="007E4F49"/>
    <w:rsid w:val="007E5412"/>
    <w:rsid w:val="007F399A"/>
    <w:rsid w:val="00824BF8"/>
    <w:rsid w:val="00827192"/>
    <w:rsid w:val="00831A00"/>
    <w:rsid w:val="00831D2F"/>
    <w:rsid w:val="008470B0"/>
    <w:rsid w:val="008474CF"/>
    <w:rsid w:val="00850D04"/>
    <w:rsid w:val="00852837"/>
    <w:rsid w:val="00870B82"/>
    <w:rsid w:val="00870DCF"/>
    <w:rsid w:val="00876B72"/>
    <w:rsid w:val="008875D0"/>
    <w:rsid w:val="008953EF"/>
    <w:rsid w:val="00896581"/>
    <w:rsid w:val="0089698A"/>
    <w:rsid w:val="008A3D50"/>
    <w:rsid w:val="008A5FDB"/>
    <w:rsid w:val="008B5F78"/>
    <w:rsid w:val="008B7CA4"/>
    <w:rsid w:val="008D0645"/>
    <w:rsid w:val="008D73DA"/>
    <w:rsid w:val="008D7653"/>
    <w:rsid w:val="008D7E0D"/>
    <w:rsid w:val="008E7E97"/>
    <w:rsid w:val="008F1FF2"/>
    <w:rsid w:val="009009C5"/>
    <w:rsid w:val="00902BE2"/>
    <w:rsid w:val="00902E5A"/>
    <w:rsid w:val="00903455"/>
    <w:rsid w:val="009061AC"/>
    <w:rsid w:val="00906B9C"/>
    <w:rsid w:val="00920B88"/>
    <w:rsid w:val="00923808"/>
    <w:rsid w:val="009340B8"/>
    <w:rsid w:val="00934899"/>
    <w:rsid w:val="00944361"/>
    <w:rsid w:val="009447A9"/>
    <w:rsid w:val="00947434"/>
    <w:rsid w:val="00952AB8"/>
    <w:rsid w:val="00957DD4"/>
    <w:rsid w:val="0096218D"/>
    <w:rsid w:val="00965BFE"/>
    <w:rsid w:val="00973106"/>
    <w:rsid w:val="0097549E"/>
    <w:rsid w:val="00982070"/>
    <w:rsid w:val="00982DAF"/>
    <w:rsid w:val="00986101"/>
    <w:rsid w:val="00987457"/>
    <w:rsid w:val="009948F9"/>
    <w:rsid w:val="00994EF8"/>
    <w:rsid w:val="009A313C"/>
    <w:rsid w:val="009A4C57"/>
    <w:rsid w:val="009B28B3"/>
    <w:rsid w:val="009B3446"/>
    <w:rsid w:val="009B396F"/>
    <w:rsid w:val="009B4504"/>
    <w:rsid w:val="009D6E7B"/>
    <w:rsid w:val="009E3B55"/>
    <w:rsid w:val="009F385D"/>
    <w:rsid w:val="009F5B3E"/>
    <w:rsid w:val="00A01854"/>
    <w:rsid w:val="00A0277E"/>
    <w:rsid w:val="00A02C1D"/>
    <w:rsid w:val="00A04547"/>
    <w:rsid w:val="00A07EAA"/>
    <w:rsid w:val="00A237FB"/>
    <w:rsid w:val="00A26D9B"/>
    <w:rsid w:val="00A31E54"/>
    <w:rsid w:val="00A33347"/>
    <w:rsid w:val="00A4057F"/>
    <w:rsid w:val="00A44F5F"/>
    <w:rsid w:val="00A54A40"/>
    <w:rsid w:val="00A60DCB"/>
    <w:rsid w:val="00A73D2D"/>
    <w:rsid w:val="00A82675"/>
    <w:rsid w:val="00A85FC6"/>
    <w:rsid w:val="00A86D64"/>
    <w:rsid w:val="00A91449"/>
    <w:rsid w:val="00A92A27"/>
    <w:rsid w:val="00A97F97"/>
    <w:rsid w:val="00AA08F4"/>
    <w:rsid w:val="00AA6A0A"/>
    <w:rsid w:val="00AA6CE1"/>
    <w:rsid w:val="00AA7790"/>
    <w:rsid w:val="00AB7F25"/>
    <w:rsid w:val="00AD106F"/>
    <w:rsid w:val="00AD2CD1"/>
    <w:rsid w:val="00AF0944"/>
    <w:rsid w:val="00B02EB9"/>
    <w:rsid w:val="00B03B87"/>
    <w:rsid w:val="00B0566A"/>
    <w:rsid w:val="00B07DAB"/>
    <w:rsid w:val="00B10E7F"/>
    <w:rsid w:val="00B16103"/>
    <w:rsid w:val="00B217B7"/>
    <w:rsid w:val="00B24DCB"/>
    <w:rsid w:val="00B4112C"/>
    <w:rsid w:val="00B427DA"/>
    <w:rsid w:val="00B5266C"/>
    <w:rsid w:val="00B5386F"/>
    <w:rsid w:val="00B560AD"/>
    <w:rsid w:val="00B6011E"/>
    <w:rsid w:val="00B6195E"/>
    <w:rsid w:val="00B640F9"/>
    <w:rsid w:val="00B64670"/>
    <w:rsid w:val="00B70DF3"/>
    <w:rsid w:val="00B75E05"/>
    <w:rsid w:val="00B813AF"/>
    <w:rsid w:val="00B8428F"/>
    <w:rsid w:val="00B85021"/>
    <w:rsid w:val="00B85F24"/>
    <w:rsid w:val="00B8695E"/>
    <w:rsid w:val="00B92E6B"/>
    <w:rsid w:val="00B93B81"/>
    <w:rsid w:val="00BA1868"/>
    <w:rsid w:val="00BA25A1"/>
    <w:rsid w:val="00BA5A29"/>
    <w:rsid w:val="00BA6AB1"/>
    <w:rsid w:val="00BA7E14"/>
    <w:rsid w:val="00BB099B"/>
    <w:rsid w:val="00BB24F0"/>
    <w:rsid w:val="00BC0E05"/>
    <w:rsid w:val="00BC334C"/>
    <w:rsid w:val="00BC3655"/>
    <w:rsid w:val="00BC71E3"/>
    <w:rsid w:val="00BC73B7"/>
    <w:rsid w:val="00BD5D13"/>
    <w:rsid w:val="00BD7A38"/>
    <w:rsid w:val="00BE0109"/>
    <w:rsid w:val="00BE1DF8"/>
    <w:rsid w:val="00BE3F6D"/>
    <w:rsid w:val="00BE538F"/>
    <w:rsid w:val="00BF5686"/>
    <w:rsid w:val="00BF7988"/>
    <w:rsid w:val="00C04204"/>
    <w:rsid w:val="00C10F36"/>
    <w:rsid w:val="00C14AD5"/>
    <w:rsid w:val="00C1759E"/>
    <w:rsid w:val="00C17BCF"/>
    <w:rsid w:val="00C208F3"/>
    <w:rsid w:val="00C27581"/>
    <w:rsid w:val="00C36550"/>
    <w:rsid w:val="00C45F70"/>
    <w:rsid w:val="00C518CC"/>
    <w:rsid w:val="00C54B1E"/>
    <w:rsid w:val="00C56355"/>
    <w:rsid w:val="00C57021"/>
    <w:rsid w:val="00C609EC"/>
    <w:rsid w:val="00C639FB"/>
    <w:rsid w:val="00C741B2"/>
    <w:rsid w:val="00C741E9"/>
    <w:rsid w:val="00C7482C"/>
    <w:rsid w:val="00C82029"/>
    <w:rsid w:val="00C83714"/>
    <w:rsid w:val="00C8525C"/>
    <w:rsid w:val="00C879F6"/>
    <w:rsid w:val="00C87DFB"/>
    <w:rsid w:val="00C91E36"/>
    <w:rsid w:val="00C91FAF"/>
    <w:rsid w:val="00C930DC"/>
    <w:rsid w:val="00C95A6A"/>
    <w:rsid w:val="00CA22A8"/>
    <w:rsid w:val="00CA3BEB"/>
    <w:rsid w:val="00CA4B0F"/>
    <w:rsid w:val="00CA743D"/>
    <w:rsid w:val="00CB2DDC"/>
    <w:rsid w:val="00CB3DEB"/>
    <w:rsid w:val="00CB51C0"/>
    <w:rsid w:val="00CC0072"/>
    <w:rsid w:val="00CC02A3"/>
    <w:rsid w:val="00CC79E5"/>
    <w:rsid w:val="00CD0EEA"/>
    <w:rsid w:val="00CD180C"/>
    <w:rsid w:val="00CD5DA1"/>
    <w:rsid w:val="00CD6578"/>
    <w:rsid w:val="00CE1CDC"/>
    <w:rsid w:val="00CE6C50"/>
    <w:rsid w:val="00CE7143"/>
    <w:rsid w:val="00CF1D7F"/>
    <w:rsid w:val="00CF59A8"/>
    <w:rsid w:val="00CF6F98"/>
    <w:rsid w:val="00D03B5E"/>
    <w:rsid w:val="00D13BC6"/>
    <w:rsid w:val="00D13C27"/>
    <w:rsid w:val="00D13C29"/>
    <w:rsid w:val="00D169BB"/>
    <w:rsid w:val="00D2061C"/>
    <w:rsid w:val="00D2773B"/>
    <w:rsid w:val="00D36322"/>
    <w:rsid w:val="00D37A15"/>
    <w:rsid w:val="00D41786"/>
    <w:rsid w:val="00D462BC"/>
    <w:rsid w:val="00D47700"/>
    <w:rsid w:val="00D47A1B"/>
    <w:rsid w:val="00D53061"/>
    <w:rsid w:val="00D55901"/>
    <w:rsid w:val="00D57C25"/>
    <w:rsid w:val="00D6106E"/>
    <w:rsid w:val="00D62CF4"/>
    <w:rsid w:val="00D70ED0"/>
    <w:rsid w:val="00D74073"/>
    <w:rsid w:val="00D85F46"/>
    <w:rsid w:val="00D86D3A"/>
    <w:rsid w:val="00D91A97"/>
    <w:rsid w:val="00D93B12"/>
    <w:rsid w:val="00DA1FB8"/>
    <w:rsid w:val="00DA7131"/>
    <w:rsid w:val="00DC01AF"/>
    <w:rsid w:val="00DC2FE7"/>
    <w:rsid w:val="00DC7480"/>
    <w:rsid w:val="00DD6ADC"/>
    <w:rsid w:val="00DE270D"/>
    <w:rsid w:val="00DE4BD3"/>
    <w:rsid w:val="00DE5CC1"/>
    <w:rsid w:val="00DF0BC1"/>
    <w:rsid w:val="00DF5313"/>
    <w:rsid w:val="00DF7A51"/>
    <w:rsid w:val="00E01688"/>
    <w:rsid w:val="00E10E7D"/>
    <w:rsid w:val="00E1365D"/>
    <w:rsid w:val="00E160D0"/>
    <w:rsid w:val="00E23B75"/>
    <w:rsid w:val="00E24C32"/>
    <w:rsid w:val="00E265FB"/>
    <w:rsid w:val="00E3283A"/>
    <w:rsid w:val="00E33E31"/>
    <w:rsid w:val="00E4042D"/>
    <w:rsid w:val="00E44822"/>
    <w:rsid w:val="00E44A7D"/>
    <w:rsid w:val="00E5265F"/>
    <w:rsid w:val="00E5536F"/>
    <w:rsid w:val="00E569C1"/>
    <w:rsid w:val="00E62714"/>
    <w:rsid w:val="00E65D18"/>
    <w:rsid w:val="00E6678B"/>
    <w:rsid w:val="00E710DA"/>
    <w:rsid w:val="00E847FA"/>
    <w:rsid w:val="00E946FE"/>
    <w:rsid w:val="00E96C75"/>
    <w:rsid w:val="00E97151"/>
    <w:rsid w:val="00E9766F"/>
    <w:rsid w:val="00EA69DA"/>
    <w:rsid w:val="00EB185D"/>
    <w:rsid w:val="00EB3492"/>
    <w:rsid w:val="00EC3087"/>
    <w:rsid w:val="00EC49E8"/>
    <w:rsid w:val="00EC6896"/>
    <w:rsid w:val="00EC6936"/>
    <w:rsid w:val="00EC7860"/>
    <w:rsid w:val="00EC7C85"/>
    <w:rsid w:val="00EC7CD5"/>
    <w:rsid w:val="00ED34B4"/>
    <w:rsid w:val="00ED6FEF"/>
    <w:rsid w:val="00EE5246"/>
    <w:rsid w:val="00EE605A"/>
    <w:rsid w:val="00EF0F4F"/>
    <w:rsid w:val="00EF3941"/>
    <w:rsid w:val="00EF5086"/>
    <w:rsid w:val="00EF57E5"/>
    <w:rsid w:val="00F0563A"/>
    <w:rsid w:val="00F0778D"/>
    <w:rsid w:val="00F117AF"/>
    <w:rsid w:val="00F12958"/>
    <w:rsid w:val="00F339E4"/>
    <w:rsid w:val="00F349FA"/>
    <w:rsid w:val="00F35EAF"/>
    <w:rsid w:val="00F43E4C"/>
    <w:rsid w:val="00F46879"/>
    <w:rsid w:val="00F54CB9"/>
    <w:rsid w:val="00F54DA3"/>
    <w:rsid w:val="00F61770"/>
    <w:rsid w:val="00F6596B"/>
    <w:rsid w:val="00F7512D"/>
    <w:rsid w:val="00F76B17"/>
    <w:rsid w:val="00F822AE"/>
    <w:rsid w:val="00F86422"/>
    <w:rsid w:val="00F8692A"/>
    <w:rsid w:val="00F87210"/>
    <w:rsid w:val="00FA0AEB"/>
    <w:rsid w:val="00FA0F4D"/>
    <w:rsid w:val="00FA323E"/>
    <w:rsid w:val="00FA48DA"/>
    <w:rsid w:val="00FB42BA"/>
    <w:rsid w:val="00FB6FDF"/>
    <w:rsid w:val="00FC55D1"/>
    <w:rsid w:val="00FD1C33"/>
    <w:rsid w:val="00FD2D99"/>
    <w:rsid w:val="00FE21F9"/>
    <w:rsid w:val="00FF383A"/>
    <w:rsid w:val="00FF41E0"/>
    <w:rsid w:val="00FF54ED"/>
    <w:rsid w:val="00FF6E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C25"/>
    <w:pPr>
      <w:autoSpaceDE w:val="0"/>
      <w:autoSpaceDN w:val="0"/>
    </w:pPr>
  </w:style>
  <w:style w:type="paragraph" w:styleId="Heading1">
    <w:name w:val="heading 1"/>
    <w:basedOn w:val="Normal"/>
    <w:next w:val="Normal"/>
    <w:link w:val="Heading1Char"/>
    <w:qFormat/>
    <w:rsid w:val="00D57C25"/>
    <w:pPr>
      <w:keepNext/>
      <w:numPr>
        <w:numId w:val="1"/>
      </w:numPr>
      <w:spacing w:before="240" w:after="80"/>
      <w:ind w:left="0"/>
      <w:jc w:val="center"/>
      <w:outlineLvl w:val="0"/>
    </w:pPr>
    <w:rPr>
      <w:smallCaps/>
      <w:kern w:val="28"/>
    </w:rPr>
  </w:style>
  <w:style w:type="paragraph" w:styleId="Heading2">
    <w:name w:val="heading 2"/>
    <w:basedOn w:val="Normal"/>
    <w:next w:val="Normal"/>
    <w:link w:val="Heading2Char"/>
    <w:qFormat/>
    <w:rsid w:val="00D57C25"/>
    <w:pPr>
      <w:keepNext/>
      <w:numPr>
        <w:ilvl w:val="1"/>
        <w:numId w:val="1"/>
      </w:numPr>
      <w:spacing w:before="120" w:after="60"/>
      <w:outlineLvl w:val="1"/>
    </w:pPr>
    <w:rPr>
      <w:i/>
      <w:iCs/>
    </w:rPr>
  </w:style>
  <w:style w:type="paragraph" w:styleId="Heading3">
    <w:name w:val="heading 3"/>
    <w:basedOn w:val="Normal"/>
    <w:next w:val="Normal"/>
    <w:qFormat/>
    <w:rsid w:val="00D57C25"/>
    <w:pPr>
      <w:keepNext/>
      <w:numPr>
        <w:ilvl w:val="2"/>
        <w:numId w:val="1"/>
      </w:numPr>
      <w:outlineLvl w:val="2"/>
    </w:pPr>
    <w:rPr>
      <w:i/>
      <w:iCs/>
    </w:rPr>
  </w:style>
  <w:style w:type="paragraph" w:styleId="Heading4">
    <w:name w:val="heading 4"/>
    <w:basedOn w:val="Normal"/>
    <w:next w:val="Normal"/>
    <w:qFormat/>
    <w:rsid w:val="00D57C25"/>
    <w:pPr>
      <w:keepNext/>
      <w:numPr>
        <w:ilvl w:val="3"/>
        <w:numId w:val="1"/>
      </w:numPr>
      <w:spacing w:before="240" w:after="60"/>
      <w:outlineLvl w:val="3"/>
    </w:pPr>
    <w:rPr>
      <w:i/>
      <w:iCs/>
      <w:sz w:val="18"/>
      <w:szCs w:val="18"/>
    </w:rPr>
  </w:style>
  <w:style w:type="paragraph" w:styleId="Heading5">
    <w:name w:val="heading 5"/>
    <w:basedOn w:val="Normal"/>
    <w:next w:val="Normal"/>
    <w:qFormat/>
    <w:rsid w:val="00D57C25"/>
    <w:pPr>
      <w:numPr>
        <w:ilvl w:val="4"/>
        <w:numId w:val="1"/>
      </w:numPr>
      <w:spacing w:before="240" w:after="60"/>
      <w:outlineLvl w:val="4"/>
    </w:pPr>
    <w:rPr>
      <w:sz w:val="18"/>
      <w:szCs w:val="18"/>
    </w:rPr>
  </w:style>
  <w:style w:type="paragraph" w:styleId="Heading6">
    <w:name w:val="heading 6"/>
    <w:basedOn w:val="Normal"/>
    <w:next w:val="Normal"/>
    <w:qFormat/>
    <w:rsid w:val="00D57C25"/>
    <w:pPr>
      <w:numPr>
        <w:ilvl w:val="5"/>
        <w:numId w:val="1"/>
      </w:numPr>
      <w:spacing w:before="240" w:after="60"/>
      <w:outlineLvl w:val="5"/>
    </w:pPr>
    <w:rPr>
      <w:i/>
      <w:iCs/>
      <w:sz w:val="16"/>
      <w:szCs w:val="16"/>
    </w:rPr>
  </w:style>
  <w:style w:type="paragraph" w:styleId="Heading7">
    <w:name w:val="heading 7"/>
    <w:basedOn w:val="Normal"/>
    <w:next w:val="Normal"/>
    <w:qFormat/>
    <w:rsid w:val="00D57C25"/>
    <w:pPr>
      <w:numPr>
        <w:ilvl w:val="6"/>
        <w:numId w:val="1"/>
      </w:numPr>
      <w:spacing w:before="240" w:after="60"/>
      <w:outlineLvl w:val="6"/>
    </w:pPr>
    <w:rPr>
      <w:sz w:val="16"/>
      <w:szCs w:val="16"/>
    </w:rPr>
  </w:style>
  <w:style w:type="paragraph" w:styleId="Heading8">
    <w:name w:val="heading 8"/>
    <w:basedOn w:val="Normal"/>
    <w:next w:val="Normal"/>
    <w:qFormat/>
    <w:rsid w:val="00D57C25"/>
    <w:pPr>
      <w:numPr>
        <w:ilvl w:val="7"/>
        <w:numId w:val="1"/>
      </w:numPr>
      <w:spacing w:before="240" w:after="60"/>
      <w:outlineLvl w:val="7"/>
    </w:pPr>
    <w:rPr>
      <w:i/>
      <w:iCs/>
      <w:sz w:val="16"/>
      <w:szCs w:val="16"/>
    </w:rPr>
  </w:style>
  <w:style w:type="paragraph" w:styleId="Heading9">
    <w:name w:val="heading 9"/>
    <w:basedOn w:val="Normal"/>
    <w:next w:val="Normal"/>
    <w:qFormat/>
    <w:rsid w:val="00D57C2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7C25"/>
    <w:pPr>
      <w:spacing w:before="20"/>
      <w:ind w:firstLine="202"/>
      <w:jc w:val="both"/>
    </w:pPr>
    <w:rPr>
      <w:b/>
      <w:bCs/>
      <w:sz w:val="18"/>
      <w:szCs w:val="18"/>
    </w:rPr>
  </w:style>
  <w:style w:type="paragraph" w:customStyle="1" w:styleId="Authors">
    <w:name w:val="Authors"/>
    <w:basedOn w:val="Normal"/>
    <w:next w:val="Normal"/>
    <w:rsid w:val="00D57C25"/>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7C25"/>
    <w:rPr>
      <w:rFonts w:ascii="Times New Roman" w:hAnsi="Times New Roman" w:cs="Times New Roman"/>
      <w:i/>
      <w:iCs/>
      <w:sz w:val="22"/>
      <w:szCs w:val="22"/>
    </w:rPr>
  </w:style>
  <w:style w:type="paragraph" w:styleId="Title">
    <w:name w:val="Title"/>
    <w:basedOn w:val="Normal"/>
    <w:next w:val="Normal"/>
    <w:qFormat/>
    <w:rsid w:val="00D57C25"/>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D57C25"/>
    <w:pPr>
      <w:ind w:firstLine="202"/>
      <w:jc w:val="both"/>
    </w:pPr>
    <w:rPr>
      <w:sz w:val="16"/>
      <w:szCs w:val="16"/>
    </w:rPr>
  </w:style>
  <w:style w:type="paragraph" w:customStyle="1" w:styleId="References">
    <w:name w:val="References"/>
    <w:basedOn w:val="Normal"/>
    <w:rsid w:val="00D57C25"/>
    <w:pPr>
      <w:numPr>
        <w:numId w:val="12"/>
      </w:numPr>
      <w:jc w:val="both"/>
    </w:pPr>
    <w:rPr>
      <w:sz w:val="16"/>
      <w:szCs w:val="16"/>
    </w:rPr>
  </w:style>
  <w:style w:type="paragraph" w:customStyle="1" w:styleId="IndexTerms">
    <w:name w:val="IndexTerms"/>
    <w:basedOn w:val="Normal"/>
    <w:next w:val="Normal"/>
    <w:rsid w:val="00D57C25"/>
    <w:pPr>
      <w:ind w:firstLine="202"/>
      <w:jc w:val="both"/>
    </w:pPr>
    <w:rPr>
      <w:b/>
      <w:bCs/>
      <w:sz w:val="18"/>
      <w:szCs w:val="18"/>
    </w:rPr>
  </w:style>
  <w:style w:type="character" w:styleId="FootnoteReference">
    <w:name w:val="footnote reference"/>
    <w:basedOn w:val="DefaultParagraphFont"/>
    <w:semiHidden/>
    <w:rsid w:val="00D57C25"/>
    <w:rPr>
      <w:vertAlign w:val="superscript"/>
    </w:rPr>
  </w:style>
  <w:style w:type="paragraph" w:styleId="Footer">
    <w:name w:val="footer"/>
    <w:basedOn w:val="Normal"/>
    <w:rsid w:val="00D57C25"/>
    <w:pPr>
      <w:tabs>
        <w:tab w:val="center" w:pos="4320"/>
        <w:tab w:val="right" w:pos="8640"/>
      </w:tabs>
    </w:pPr>
  </w:style>
  <w:style w:type="paragraph" w:customStyle="1" w:styleId="Text">
    <w:name w:val="Text"/>
    <w:basedOn w:val="Normal"/>
    <w:rsid w:val="00D57C25"/>
    <w:pPr>
      <w:widowControl w:val="0"/>
      <w:spacing w:line="252" w:lineRule="auto"/>
      <w:ind w:firstLine="202"/>
      <w:jc w:val="both"/>
    </w:pPr>
  </w:style>
  <w:style w:type="paragraph" w:customStyle="1" w:styleId="FigureCaption">
    <w:name w:val="Figure Caption"/>
    <w:basedOn w:val="Normal"/>
    <w:rsid w:val="00D57C25"/>
    <w:pPr>
      <w:jc w:val="both"/>
    </w:pPr>
    <w:rPr>
      <w:sz w:val="16"/>
      <w:szCs w:val="16"/>
    </w:rPr>
  </w:style>
  <w:style w:type="paragraph" w:customStyle="1" w:styleId="TableTitle">
    <w:name w:val="Table Title"/>
    <w:basedOn w:val="Normal"/>
    <w:rsid w:val="00D57C25"/>
    <w:pPr>
      <w:jc w:val="center"/>
    </w:pPr>
    <w:rPr>
      <w:smallCaps/>
      <w:sz w:val="16"/>
      <w:szCs w:val="16"/>
    </w:rPr>
  </w:style>
  <w:style w:type="paragraph" w:customStyle="1" w:styleId="ReferenceHead">
    <w:name w:val="Reference Head"/>
    <w:basedOn w:val="Heading1"/>
    <w:rsid w:val="00D57C25"/>
    <w:pPr>
      <w:numPr>
        <w:numId w:val="0"/>
      </w:numPr>
    </w:pPr>
  </w:style>
  <w:style w:type="paragraph" w:styleId="Header">
    <w:name w:val="header"/>
    <w:basedOn w:val="Normal"/>
    <w:rsid w:val="00D57C25"/>
    <w:pPr>
      <w:tabs>
        <w:tab w:val="center" w:pos="4320"/>
        <w:tab w:val="right" w:pos="8640"/>
      </w:tabs>
    </w:pPr>
  </w:style>
  <w:style w:type="paragraph" w:customStyle="1" w:styleId="Equation">
    <w:name w:val="Equation"/>
    <w:basedOn w:val="Normal"/>
    <w:next w:val="Normal"/>
    <w:rsid w:val="00D57C25"/>
    <w:pPr>
      <w:widowControl w:val="0"/>
      <w:tabs>
        <w:tab w:val="right" w:pos="5040"/>
      </w:tabs>
      <w:spacing w:line="252" w:lineRule="auto"/>
      <w:jc w:val="both"/>
    </w:pPr>
  </w:style>
  <w:style w:type="character" w:styleId="Hyperlink">
    <w:name w:val="Hyperlink"/>
    <w:basedOn w:val="DefaultParagraphFont"/>
    <w:rsid w:val="00D57C25"/>
    <w:rPr>
      <w:color w:val="0000FF"/>
      <w:u w:val="single"/>
    </w:rPr>
  </w:style>
  <w:style w:type="character" w:styleId="FollowedHyperlink">
    <w:name w:val="FollowedHyperlink"/>
    <w:basedOn w:val="DefaultParagraphFont"/>
    <w:rsid w:val="00D57C25"/>
    <w:rPr>
      <w:color w:val="800080"/>
      <w:u w:val="single"/>
    </w:rPr>
  </w:style>
  <w:style w:type="paragraph" w:styleId="BodyTextIndent">
    <w:name w:val="Body Text Indent"/>
    <w:basedOn w:val="Normal"/>
    <w:rsid w:val="00D57C25"/>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link w:val="CommentTextChar"/>
    <w:uiPriority w:val="99"/>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EC6936"/>
    <w:rPr>
      <w:i/>
      <w:iCs/>
    </w:rPr>
  </w:style>
  <w:style w:type="character" w:customStyle="1" w:styleId="FootnoteTextChar">
    <w:name w:val="Footnote Text Char"/>
    <w:basedOn w:val="DefaultParagraphFont"/>
    <w:link w:val="FootnoteText"/>
    <w:semiHidden/>
    <w:rsid w:val="00756D78"/>
    <w:rPr>
      <w:sz w:val="16"/>
      <w:szCs w:val="16"/>
    </w:rPr>
  </w:style>
  <w:style w:type="table" w:styleId="TableGrid">
    <w:name w:val="Table Grid"/>
    <w:basedOn w:val="TableNormal"/>
    <w:uiPriority w:val="59"/>
    <w:rsid w:val="004057A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A31E54"/>
  </w:style>
  <w:style w:type="paragraph" w:styleId="Revision">
    <w:name w:val="Revision"/>
    <w:hidden/>
    <w:uiPriority w:val="99"/>
    <w:semiHidden/>
    <w:rsid w:val="002879F2"/>
  </w:style>
  <w:style w:type="character" w:customStyle="1" w:styleId="apple-converted-space">
    <w:name w:val="apple-converted-space"/>
    <w:basedOn w:val="DefaultParagraphFont"/>
    <w:rsid w:val="00F86422"/>
  </w:style>
  <w:style w:type="paragraph" w:customStyle="1" w:styleId="Style1">
    <w:name w:val="Style1"/>
    <w:basedOn w:val="Heading2"/>
    <w:link w:val="Style1Char"/>
    <w:qFormat/>
    <w:rsid w:val="00F87210"/>
    <w:pPr>
      <w:ind w:firstLine="204"/>
      <w:jc w:val="both"/>
    </w:pPr>
  </w:style>
  <w:style w:type="paragraph" w:customStyle="1" w:styleId="Style2">
    <w:name w:val="Style2"/>
    <w:basedOn w:val="Heading1"/>
    <w:link w:val="Style2Char"/>
    <w:qFormat/>
    <w:rsid w:val="00F87210"/>
  </w:style>
  <w:style w:type="character" w:customStyle="1" w:styleId="Style1Char">
    <w:name w:val="Style1 Char"/>
    <w:basedOn w:val="Heading2Char"/>
    <w:link w:val="Style1"/>
    <w:rsid w:val="00F87210"/>
    <w:rPr>
      <w:i/>
      <w:iCs/>
    </w:rPr>
  </w:style>
  <w:style w:type="paragraph" w:customStyle="1" w:styleId="Style3">
    <w:name w:val="Style3"/>
    <w:basedOn w:val="Style1"/>
    <w:link w:val="Style3Char"/>
    <w:qFormat/>
    <w:rsid w:val="00F87210"/>
    <w:pPr>
      <w:numPr>
        <w:ilvl w:val="0"/>
        <w:numId w:val="0"/>
      </w:numPr>
      <w:ind w:left="204"/>
    </w:pPr>
    <w:rPr>
      <w:i w:val="0"/>
    </w:rPr>
  </w:style>
  <w:style w:type="character" w:customStyle="1" w:styleId="Style2Char">
    <w:name w:val="Style2 Char"/>
    <w:basedOn w:val="Heading1Char"/>
    <w:link w:val="Style2"/>
    <w:rsid w:val="00F87210"/>
    <w:rPr>
      <w:smallCaps/>
    </w:rPr>
  </w:style>
  <w:style w:type="character" w:customStyle="1" w:styleId="Style3Char">
    <w:name w:val="Style3 Char"/>
    <w:basedOn w:val="Style1Char"/>
    <w:link w:val="Style3"/>
    <w:rsid w:val="00F872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C25"/>
    <w:pPr>
      <w:autoSpaceDE w:val="0"/>
      <w:autoSpaceDN w:val="0"/>
    </w:pPr>
  </w:style>
  <w:style w:type="paragraph" w:styleId="Heading1">
    <w:name w:val="heading 1"/>
    <w:basedOn w:val="Normal"/>
    <w:next w:val="Normal"/>
    <w:link w:val="Heading1Char"/>
    <w:qFormat/>
    <w:rsid w:val="00D57C25"/>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D57C25"/>
    <w:pPr>
      <w:keepNext/>
      <w:numPr>
        <w:ilvl w:val="1"/>
        <w:numId w:val="1"/>
      </w:numPr>
      <w:spacing w:before="120" w:after="60"/>
      <w:outlineLvl w:val="1"/>
    </w:pPr>
    <w:rPr>
      <w:i/>
      <w:iCs/>
    </w:rPr>
  </w:style>
  <w:style w:type="paragraph" w:styleId="Heading3">
    <w:name w:val="heading 3"/>
    <w:basedOn w:val="Normal"/>
    <w:next w:val="Normal"/>
    <w:qFormat/>
    <w:rsid w:val="00D57C25"/>
    <w:pPr>
      <w:keepNext/>
      <w:numPr>
        <w:ilvl w:val="2"/>
        <w:numId w:val="1"/>
      </w:numPr>
      <w:outlineLvl w:val="2"/>
    </w:pPr>
    <w:rPr>
      <w:i/>
      <w:iCs/>
    </w:rPr>
  </w:style>
  <w:style w:type="paragraph" w:styleId="Heading4">
    <w:name w:val="heading 4"/>
    <w:basedOn w:val="Normal"/>
    <w:next w:val="Normal"/>
    <w:qFormat/>
    <w:rsid w:val="00D57C25"/>
    <w:pPr>
      <w:keepNext/>
      <w:numPr>
        <w:ilvl w:val="3"/>
        <w:numId w:val="1"/>
      </w:numPr>
      <w:spacing w:before="240" w:after="60"/>
      <w:outlineLvl w:val="3"/>
    </w:pPr>
    <w:rPr>
      <w:i/>
      <w:iCs/>
      <w:sz w:val="18"/>
      <w:szCs w:val="18"/>
    </w:rPr>
  </w:style>
  <w:style w:type="paragraph" w:styleId="Heading5">
    <w:name w:val="heading 5"/>
    <w:basedOn w:val="Normal"/>
    <w:next w:val="Normal"/>
    <w:qFormat/>
    <w:rsid w:val="00D57C25"/>
    <w:pPr>
      <w:numPr>
        <w:ilvl w:val="4"/>
        <w:numId w:val="1"/>
      </w:numPr>
      <w:spacing w:before="240" w:after="60"/>
      <w:outlineLvl w:val="4"/>
    </w:pPr>
    <w:rPr>
      <w:sz w:val="18"/>
      <w:szCs w:val="18"/>
    </w:rPr>
  </w:style>
  <w:style w:type="paragraph" w:styleId="Heading6">
    <w:name w:val="heading 6"/>
    <w:basedOn w:val="Normal"/>
    <w:next w:val="Normal"/>
    <w:qFormat/>
    <w:rsid w:val="00D57C25"/>
    <w:pPr>
      <w:numPr>
        <w:ilvl w:val="5"/>
        <w:numId w:val="1"/>
      </w:numPr>
      <w:spacing w:before="240" w:after="60"/>
      <w:outlineLvl w:val="5"/>
    </w:pPr>
    <w:rPr>
      <w:i/>
      <w:iCs/>
      <w:sz w:val="16"/>
      <w:szCs w:val="16"/>
    </w:rPr>
  </w:style>
  <w:style w:type="paragraph" w:styleId="Heading7">
    <w:name w:val="heading 7"/>
    <w:basedOn w:val="Normal"/>
    <w:next w:val="Normal"/>
    <w:qFormat/>
    <w:rsid w:val="00D57C25"/>
    <w:pPr>
      <w:numPr>
        <w:ilvl w:val="6"/>
        <w:numId w:val="1"/>
      </w:numPr>
      <w:spacing w:before="240" w:after="60"/>
      <w:outlineLvl w:val="6"/>
    </w:pPr>
    <w:rPr>
      <w:sz w:val="16"/>
      <w:szCs w:val="16"/>
    </w:rPr>
  </w:style>
  <w:style w:type="paragraph" w:styleId="Heading8">
    <w:name w:val="heading 8"/>
    <w:basedOn w:val="Normal"/>
    <w:next w:val="Normal"/>
    <w:qFormat/>
    <w:rsid w:val="00D57C25"/>
    <w:pPr>
      <w:numPr>
        <w:ilvl w:val="7"/>
        <w:numId w:val="1"/>
      </w:numPr>
      <w:spacing w:before="240" w:after="60"/>
      <w:outlineLvl w:val="7"/>
    </w:pPr>
    <w:rPr>
      <w:i/>
      <w:iCs/>
      <w:sz w:val="16"/>
      <w:szCs w:val="16"/>
    </w:rPr>
  </w:style>
  <w:style w:type="paragraph" w:styleId="Heading9">
    <w:name w:val="heading 9"/>
    <w:basedOn w:val="Normal"/>
    <w:next w:val="Normal"/>
    <w:qFormat/>
    <w:rsid w:val="00D57C2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7C25"/>
    <w:pPr>
      <w:spacing w:before="20"/>
      <w:ind w:firstLine="202"/>
      <w:jc w:val="both"/>
    </w:pPr>
    <w:rPr>
      <w:b/>
      <w:bCs/>
      <w:sz w:val="18"/>
      <w:szCs w:val="18"/>
    </w:rPr>
  </w:style>
  <w:style w:type="paragraph" w:customStyle="1" w:styleId="Authors">
    <w:name w:val="Authors"/>
    <w:basedOn w:val="Normal"/>
    <w:next w:val="Normal"/>
    <w:rsid w:val="00D57C25"/>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7C25"/>
    <w:rPr>
      <w:rFonts w:ascii="Times New Roman" w:hAnsi="Times New Roman" w:cs="Times New Roman"/>
      <w:i/>
      <w:iCs/>
      <w:sz w:val="22"/>
      <w:szCs w:val="22"/>
    </w:rPr>
  </w:style>
  <w:style w:type="paragraph" w:styleId="Title">
    <w:name w:val="Title"/>
    <w:basedOn w:val="Normal"/>
    <w:next w:val="Normal"/>
    <w:qFormat/>
    <w:rsid w:val="00D57C25"/>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D57C25"/>
    <w:pPr>
      <w:ind w:firstLine="202"/>
      <w:jc w:val="both"/>
    </w:pPr>
    <w:rPr>
      <w:sz w:val="16"/>
      <w:szCs w:val="16"/>
    </w:rPr>
  </w:style>
  <w:style w:type="paragraph" w:customStyle="1" w:styleId="References">
    <w:name w:val="References"/>
    <w:basedOn w:val="Normal"/>
    <w:rsid w:val="00D57C25"/>
    <w:pPr>
      <w:numPr>
        <w:numId w:val="12"/>
      </w:numPr>
      <w:jc w:val="both"/>
    </w:pPr>
    <w:rPr>
      <w:sz w:val="16"/>
      <w:szCs w:val="16"/>
    </w:rPr>
  </w:style>
  <w:style w:type="paragraph" w:customStyle="1" w:styleId="IndexTerms">
    <w:name w:val="IndexTerms"/>
    <w:basedOn w:val="Normal"/>
    <w:next w:val="Normal"/>
    <w:rsid w:val="00D57C25"/>
    <w:pPr>
      <w:ind w:firstLine="202"/>
      <w:jc w:val="both"/>
    </w:pPr>
    <w:rPr>
      <w:b/>
      <w:bCs/>
      <w:sz w:val="18"/>
      <w:szCs w:val="18"/>
    </w:rPr>
  </w:style>
  <w:style w:type="character" w:styleId="FootnoteReference">
    <w:name w:val="footnote reference"/>
    <w:basedOn w:val="DefaultParagraphFont"/>
    <w:semiHidden/>
    <w:rsid w:val="00D57C25"/>
    <w:rPr>
      <w:vertAlign w:val="superscript"/>
    </w:rPr>
  </w:style>
  <w:style w:type="paragraph" w:styleId="Footer">
    <w:name w:val="footer"/>
    <w:basedOn w:val="Normal"/>
    <w:rsid w:val="00D57C25"/>
    <w:pPr>
      <w:tabs>
        <w:tab w:val="center" w:pos="4320"/>
        <w:tab w:val="right" w:pos="8640"/>
      </w:tabs>
    </w:pPr>
  </w:style>
  <w:style w:type="paragraph" w:customStyle="1" w:styleId="Text">
    <w:name w:val="Text"/>
    <w:basedOn w:val="Normal"/>
    <w:rsid w:val="00D57C25"/>
    <w:pPr>
      <w:widowControl w:val="0"/>
      <w:spacing w:line="252" w:lineRule="auto"/>
      <w:ind w:firstLine="202"/>
      <w:jc w:val="both"/>
    </w:pPr>
  </w:style>
  <w:style w:type="paragraph" w:customStyle="1" w:styleId="FigureCaption">
    <w:name w:val="Figure Caption"/>
    <w:basedOn w:val="Normal"/>
    <w:rsid w:val="00D57C25"/>
    <w:pPr>
      <w:jc w:val="both"/>
    </w:pPr>
    <w:rPr>
      <w:sz w:val="16"/>
      <w:szCs w:val="16"/>
    </w:rPr>
  </w:style>
  <w:style w:type="paragraph" w:customStyle="1" w:styleId="TableTitle">
    <w:name w:val="Table Title"/>
    <w:basedOn w:val="Normal"/>
    <w:rsid w:val="00D57C25"/>
    <w:pPr>
      <w:jc w:val="center"/>
    </w:pPr>
    <w:rPr>
      <w:smallCaps/>
      <w:sz w:val="16"/>
      <w:szCs w:val="16"/>
    </w:rPr>
  </w:style>
  <w:style w:type="paragraph" w:customStyle="1" w:styleId="ReferenceHead">
    <w:name w:val="Reference Head"/>
    <w:basedOn w:val="Heading1"/>
    <w:rsid w:val="00D57C25"/>
    <w:pPr>
      <w:numPr>
        <w:numId w:val="0"/>
      </w:numPr>
    </w:pPr>
  </w:style>
  <w:style w:type="paragraph" w:styleId="Header">
    <w:name w:val="header"/>
    <w:basedOn w:val="Normal"/>
    <w:rsid w:val="00D57C25"/>
    <w:pPr>
      <w:tabs>
        <w:tab w:val="center" w:pos="4320"/>
        <w:tab w:val="right" w:pos="8640"/>
      </w:tabs>
    </w:pPr>
  </w:style>
  <w:style w:type="paragraph" w:customStyle="1" w:styleId="Equation">
    <w:name w:val="Equation"/>
    <w:basedOn w:val="Normal"/>
    <w:next w:val="Normal"/>
    <w:rsid w:val="00D57C25"/>
    <w:pPr>
      <w:widowControl w:val="0"/>
      <w:tabs>
        <w:tab w:val="right" w:pos="5040"/>
      </w:tabs>
      <w:spacing w:line="252" w:lineRule="auto"/>
      <w:jc w:val="both"/>
    </w:pPr>
  </w:style>
  <w:style w:type="character" w:styleId="Hyperlink">
    <w:name w:val="Hyperlink"/>
    <w:basedOn w:val="DefaultParagraphFont"/>
    <w:rsid w:val="00D57C25"/>
    <w:rPr>
      <w:color w:val="0000FF"/>
      <w:u w:val="single"/>
    </w:rPr>
  </w:style>
  <w:style w:type="character" w:styleId="FollowedHyperlink">
    <w:name w:val="FollowedHyperlink"/>
    <w:basedOn w:val="DefaultParagraphFont"/>
    <w:rsid w:val="00D57C25"/>
    <w:rPr>
      <w:color w:val="800080"/>
      <w:u w:val="single"/>
    </w:rPr>
  </w:style>
  <w:style w:type="paragraph" w:styleId="BodyTextIndent">
    <w:name w:val="Body Text Indent"/>
    <w:basedOn w:val="Normal"/>
    <w:rsid w:val="00D57C25"/>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link w:val="CommentTextChar"/>
    <w:uiPriority w:val="99"/>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EC6936"/>
    <w:rPr>
      <w:i/>
      <w:iCs/>
    </w:rPr>
  </w:style>
  <w:style w:type="character" w:customStyle="1" w:styleId="FootnoteTextChar">
    <w:name w:val="Footnote Text Char"/>
    <w:basedOn w:val="DefaultParagraphFont"/>
    <w:link w:val="FootnoteText"/>
    <w:semiHidden/>
    <w:rsid w:val="00756D78"/>
    <w:rPr>
      <w:sz w:val="16"/>
      <w:szCs w:val="16"/>
    </w:rPr>
  </w:style>
  <w:style w:type="table" w:styleId="TableGrid">
    <w:name w:val="Table Grid"/>
    <w:basedOn w:val="TableNormal"/>
    <w:uiPriority w:val="59"/>
    <w:rsid w:val="004057A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A31E54"/>
  </w:style>
  <w:style w:type="paragraph" w:styleId="Revision">
    <w:name w:val="Revision"/>
    <w:hidden/>
    <w:uiPriority w:val="99"/>
    <w:semiHidden/>
    <w:rsid w:val="002879F2"/>
  </w:style>
  <w:style w:type="character" w:customStyle="1" w:styleId="apple-converted-space">
    <w:name w:val="apple-converted-space"/>
    <w:basedOn w:val="DefaultParagraphFont"/>
    <w:rsid w:val="00F864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ubmed?term=Komistek%20RD%5BAuthor%5D&amp;cauthor=true&amp;cauthor_uid=16139716" TargetMode="External"/><Relationship Id="rId18" Type="http://schemas.openxmlformats.org/officeDocument/2006/relationships/hyperlink" Target="http://www.ncbi.nlm.nih.gov/pubmed?term=Kawano%20T%5BAuthor%5D&amp;cauthor=true&amp;cauthor_uid=12898305" TargetMode="External"/><Relationship Id="rId26" Type="http://schemas.openxmlformats.org/officeDocument/2006/relationships/hyperlink" Target="http://www.ncbi.nlm.nih.gov/pubmed?term=Matsui%20N%5BAuthor%5D&amp;cauthor=true&amp;cauthor_uid=18274855" TargetMode="External"/><Relationship Id="rId3" Type="http://schemas.openxmlformats.org/officeDocument/2006/relationships/styles" Target="styles.xml"/><Relationship Id="rId21" Type="http://schemas.openxmlformats.org/officeDocument/2006/relationships/hyperlink" Target="http://www.ncbi.nlm.nih.gov/pubmed?term=Yoshiya%20S%5BAuthor%5D&amp;cauthor=true&amp;cauthor_uid=15067650" TargetMode="External"/><Relationship Id="rId7" Type="http://schemas.openxmlformats.org/officeDocument/2006/relationships/endnotes" Target="endnotes.xml"/><Relationship Id="rId12" Type="http://schemas.openxmlformats.org/officeDocument/2006/relationships/hyperlink" Target="http://www.ncbi.nlm.nih.gov/pubmed?term=Matsui%20N%5BAuthor%5D&amp;cauthor=true&amp;cauthor_uid=16139716" TargetMode="External"/><Relationship Id="rId17" Type="http://schemas.openxmlformats.org/officeDocument/2006/relationships/hyperlink" Target="http://www.ncbi.nlm.nih.gov/pubmed?term=Miura%20H%5BAuthor%5D&amp;cauthor=true&amp;cauthor_uid=12898305" TargetMode="External"/><Relationship Id="rId25" Type="http://schemas.openxmlformats.org/officeDocument/2006/relationships/hyperlink" Target="http://www.ncbi.nlm.nih.gov/pubmed?term=Arabori%20M%5BAuthor%5D&amp;cauthor=true&amp;cauthor_uid=1827485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cbi.nlm.nih.gov/pubmed?term=Matsuda%20S%5BAuthor%5D&amp;cauthor=true&amp;cauthor_uid=12898305" TargetMode="External"/><Relationship Id="rId20" Type="http://schemas.openxmlformats.org/officeDocument/2006/relationships/hyperlink" Target="http://www.ncbi.nlm.nih.gov/pubmed?term=Maruyama%20S%5BAuthor%5D&amp;cauthor=true&amp;cauthor_uid=15067650" TargetMode="External"/><Relationship Id="rId29" Type="http://schemas.openxmlformats.org/officeDocument/2006/relationships/hyperlink" Target="http://www.ncbi.nlm.nih.gov/pubmed?term=Doita%20M%5BAuthor%5D&amp;cauthor=true&amp;cauthor_uid=182748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Yoshiya%20S%5BAuthor%5D&amp;cauthor=true&amp;cauthor_uid=16139716" TargetMode="External"/><Relationship Id="rId24" Type="http://schemas.openxmlformats.org/officeDocument/2006/relationships/hyperlink" Target="http://www.ncbi.nlm.nih.gov/pubmed?term=Kurosaka%20M%5BAuthor%5D&amp;cauthor=true&amp;cauthor_uid=15067650" TargetMode="External"/><Relationship Id="rId5" Type="http://schemas.openxmlformats.org/officeDocument/2006/relationships/webSettings" Target="webSettings.xml"/><Relationship Id="rId15" Type="http://schemas.openxmlformats.org/officeDocument/2006/relationships/hyperlink" Target="http://www.ncbi.nlm.nih.gov/pubmed?term=Nabeyama%20R%5BAuthor%5D&amp;cauthor=true&amp;cauthor_uid=12898305" TargetMode="External"/><Relationship Id="rId23" Type="http://schemas.openxmlformats.org/officeDocument/2006/relationships/hyperlink" Target="http://www.ncbi.nlm.nih.gov/pubmed?term=Kuroda%20R%5BAuthor%5D&amp;cauthor=true&amp;cauthor_uid=15067650" TargetMode="External"/><Relationship Id="rId28" Type="http://schemas.openxmlformats.org/officeDocument/2006/relationships/hyperlink" Target="http://www.ncbi.nlm.nih.gov/pubmed?term=Mizuno%20K%5BAuthor%5D&amp;cauthor=true&amp;cauthor_uid=18274855" TargetMode="External"/><Relationship Id="rId10" Type="http://schemas.openxmlformats.org/officeDocument/2006/relationships/footer" Target="footer2.xml"/><Relationship Id="rId19" Type="http://schemas.openxmlformats.org/officeDocument/2006/relationships/hyperlink" Target="http://www.ncbi.nlm.nih.gov/pubmed?term=Nagamine%20R%5BAuthor%5D&amp;cauthor=true&amp;cauthor_uid=1289830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pubmed?term=Dennis%20DA%5BAuthor%5D&amp;cauthor=true&amp;cauthor_uid=16139716" TargetMode="External"/><Relationship Id="rId22" Type="http://schemas.openxmlformats.org/officeDocument/2006/relationships/hyperlink" Target="http://www.ncbi.nlm.nih.gov/pubmed?term=Matsui%20N%5BAuthor%5D&amp;cauthor=true&amp;cauthor_uid=15067650" TargetMode="External"/><Relationship Id="rId27" Type="http://schemas.openxmlformats.org/officeDocument/2006/relationships/hyperlink" Target="http://www.ncbi.nlm.nih.gov/pubmed?term=Kuroda%20R%5BAuthor%5D&amp;cauthor=true&amp;cauthor_uid=1827485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1435DA-5F06-4C4C-A94F-FAD2B22F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42341</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PC1</cp:lastModifiedBy>
  <cp:revision>2</cp:revision>
  <cp:lastPrinted>2014-02-03T09:09:00Z</cp:lastPrinted>
  <dcterms:created xsi:type="dcterms:W3CDTF">2014-02-13T07:02:00Z</dcterms:created>
  <dcterms:modified xsi:type="dcterms:W3CDTF">2014-02-13T07:02:00Z</dcterms:modified>
</cp:coreProperties>
</file>