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9AD" w:rsidRPr="002D0908" w:rsidRDefault="000459AD" w:rsidP="00094DE6">
      <w:pPr>
        <w:bidi w:val="0"/>
        <w:spacing w:line="480" w:lineRule="auto"/>
        <w:jc w:val="center"/>
        <w:rPr>
          <w:rFonts w:asciiTheme="majorBidi" w:hAnsiTheme="majorBidi" w:cstheme="majorBidi"/>
          <w:b/>
          <w:bCs/>
        </w:rPr>
      </w:pPr>
      <w:r w:rsidRPr="002D0908">
        <w:rPr>
          <w:rFonts w:asciiTheme="majorBidi" w:hAnsiTheme="majorBidi" w:cstheme="majorBidi"/>
          <w:b/>
          <w:bCs/>
        </w:rPr>
        <w:t>Title Page</w:t>
      </w:r>
    </w:p>
    <w:p w:rsidR="000459AD" w:rsidRPr="002D0908" w:rsidRDefault="000459AD" w:rsidP="00094DE6">
      <w:pPr>
        <w:bidi w:val="0"/>
        <w:spacing w:line="480" w:lineRule="auto"/>
        <w:jc w:val="center"/>
        <w:rPr>
          <w:rFonts w:asciiTheme="majorBidi" w:hAnsiTheme="majorBidi" w:cstheme="majorBidi"/>
          <w:b/>
          <w:bCs/>
          <w:sz w:val="28"/>
          <w:szCs w:val="28"/>
          <w:lang w:bidi="ar-EG"/>
        </w:rPr>
      </w:pPr>
      <w:r w:rsidRPr="002D0908">
        <w:rPr>
          <w:rFonts w:asciiTheme="majorBidi" w:hAnsiTheme="majorBidi" w:cstheme="majorBidi"/>
          <w:b/>
          <w:bCs/>
          <w:sz w:val="28"/>
          <w:szCs w:val="28"/>
          <w:lang w:bidi="ar-EG"/>
        </w:rPr>
        <w:t>A comparative study of implant–tooth connected prostheses with rigid and non-rigid connectors</w:t>
      </w:r>
    </w:p>
    <w:p w:rsidR="000459AD" w:rsidRPr="002D0908" w:rsidRDefault="000459AD" w:rsidP="00D87ACB">
      <w:pPr>
        <w:bidi w:val="0"/>
        <w:spacing w:after="0" w:line="240" w:lineRule="auto"/>
        <w:jc w:val="both"/>
        <w:rPr>
          <w:rFonts w:asciiTheme="majorBidi" w:hAnsiTheme="majorBidi" w:cstheme="majorBidi"/>
        </w:rPr>
      </w:pPr>
      <w:r w:rsidRPr="002D0908">
        <w:rPr>
          <w:rFonts w:asciiTheme="majorBidi" w:hAnsiTheme="majorBidi" w:cstheme="majorBidi"/>
        </w:rPr>
        <w:t>Author #1</w:t>
      </w:r>
      <w:r w:rsidR="00537C24" w:rsidRPr="002D0908">
        <w:rPr>
          <w:rFonts w:asciiTheme="majorBidi" w:hAnsiTheme="majorBidi" w:cstheme="majorBidi"/>
        </w:rPr>
        <w:t>(corresponding author)</w:t>
      </w:r>
      <w:r w:rsidRPr="002D0908">
        <w:rPr>
          <w:rFonts w:asciiTheme="majorBidi" w:hAnsiTheme="majorBidi" w:cstheme="majorBidi"/>
        </w:rPr>
        <w:t>:</w:t>
      </w:r>
    </w:p>
    <w:p w:rsidR="000459AD" w:rsidRPr="002D0908" w:rsidRDefault="000459AD" w:rsidP="00D87ACB">
      <w:pPr>
        <w:bidi w:val="0"/>
        <w:spacing w:after="0" w:line="240" w:lineRule="auto"/>
        <w:jc w:val="both"/>
        <w:rPr>
          <w:rFonts w:asciiTheme="majorBidi" w:hAnsiTheme="majorBidi" w:cstheme="majorBidi"/>
        </w:rPr>
      </w:pPr>
      <w:r w:rsidRPr="002D0908">
        <w:rPr>
          <w:rFonts w:asciiTheme="majorBidi" w:hAnsiTheme="majorBidi" w:cstheme="majorBidi"/>
        </w:rPr>
        <w:t xml:space="preserve">Dr. </w:t>
      </w:r>
      <w:proofErr w:type="spellStart"/>
      <w:r w:rsidRPr="002D0908">
        <w:rPr>
          <w:rFonts w:asciiTheme="majorBidi" w:hAnsiTheme="majorBidi" w:cstheme="majorBidi"/>
        </w:rPr>
        <w:t>Gihan</w:t>
      </w:r>
      <w:proofErr w:type="spellEnd"/>
      <w:r w:rsidRPr="002D0908">
        <w:rPr>
          <w:rFonts w:asciiTheme="majorBidi" w:hAnsiTheme="majorBidi" w:cstheme="majorBidi"/>
        </w:rPr>
        <w:t xml:space="preserve"> Omar</w:t>
      </w:r>
    </w:p>
    <w:p w:rsidR="000459AD" w:rsidRPr="002D0908" w:rsidRDefault="00537C24" w:rsidP="003723E3">
      <w:pPr>
        <w:bidi w:val="0"/>
        <w:spacing w:after="0" w:line="240" w:lineRule="auto"/>
        <w:jc w:val="both"/>
        <w:rPr>
          <w:rFonts w:asciiTheme="majorBidi" w:hAnsiTheme="majorBidi" w:cstheme="majorBidi"/>
        </w:rPr>
      </w:pPr>
      <w:r w:rsidRPr="002D0908">
        <w:rPr>
          <w:rFonts w:asciiTheme="majorBidi" w:hAnsiTheme="majorBidi" w:cstheme="majorBidi"/>
        </w:rPr>
        <w:t>Assistant</w:t>
      </w:r>
      <w:r w:rsidR="000459AD" w:rsidRPr="002D0908">
        <w:rPr>
          <w:rFonts w:asciiTheme="majorBidi" w:hAnsiTheme="majorBidi" w:cstheme="majorBidi"/>
        </w:rPr>
        <w:t xml:space="preserve"> professor of oral and m</w:t>
      </w:r>
      <w:r w:rsidR="00365F8D">
        <w:rPr>
          <w:rFonts w:asciiTheme="majorBidi" w:hAnsiTheme="majorBidi" w:cstheme="majorBidi"/>
        </w:rPr>
        <w:t xml:space="preserve">axillofacial radiology, </w:t>
      </w:r>
      <w:r w:rsidR="003723E3">
        <w:rPr>
          <w:rFonts w:asciiTheme="majorBidi" w:hAnsiTheme="majorBidi" w:cstheme="majorBidi"/>
        </w:rPr>
        <w:t>Cairo</w:t>
      </w:r>
      <w:r w:rsidR="00365F8D">
        <w:rPr>
          <w:rFonts w:asciiTheme="majorBidi" w:hAnsiTheme="majorBidi" w:cstheme="majorBidi"/>
        </w:rPr>
        <w:t xml:space="preserve"> U</w:t>
      </w:r>
      <w:r w:rsidR="000459AD" w:rsidRPr="002D0908">
        <w:rPr>
          <w:rFonts w:asciiTheme="majorBidi" w:hAnsiTheme="majorBidi" w:cstheme="majorBidi"/>
        </w:rPr>
        <w:t>niversity</w:t>
      </w:r>
    </w:p>
    <w:p w:rsidR="000459AD" w:rsidRDefault="001919A5" w:rsidP="00D87ACB">
      <w:pPr>
        <w:bidi w:val="0"/>
        <w:spacing w:after="0" w:line="240" w:lineRule="auto"/>
        <w:jc w:val="both"/>
        <w:rPr>
          <w:rFonts w:asciiTheme="majorBidi" w:hAnsiTheme="majorBidi" w:cstheme="majorBidi"/>
        </w:rPr>
      </w:pPr>
      <w:hyperlink r:id="rId8" w:history="1">
        <w:r w:rsidR="003723E3" w:rsidRPr="00F5402A">
          <w:rPr>
            <w:rStyle w:val="Hyperlink"/>
            <w:rFonts w:asciiTheme="majorBidi" w:hAnsiTheme="majorBidi" w:cstheme="majorBidi"/>
          </w:rPr>
          <w:t>gihanomar2012@hotmail.com</w:t>
        </w:r>
      </w:hyperlink>
    </w:p>
    <w:p w:rsidR="003723E3" w:rsidRPr="002D0908" w:rsidRDefault="003723E3" w:rsidP="003723E3">
      <w:pPr>
        <w:bidi w:val="0"/>
        <w:spacing w:after="0" w:line="240" w:lineRule="auto"/>
        <w:jc w:val="both"/>
        <w:rPr>
          <w:rFonts w:asciiTheme="majorBidi" w:hAnsiTheme="majorBidi" w:cstheme="majorBidi"/>
        </w:rPr>
      </w:pPr>
    </w:p>
    <w:p w:rsidR="00537C24" w:rsidRPr="002D0908" w:rsidRDefault="00537C24" w:rsidP="00D87ACB">
      <w:pPr>
        <w:bidi w:val="0"/>
        <w:spacing w:after="0" w:line="240" w:lineRule="auto"/>
        <w:jc w:val="both"/>
        <w:rPr>
          <w:rFonts w:asciiTheme="majorBidi" w:hAnsiTheme="majorBidi" w:cstheme="majorBidi"/>
        </w:rPr>
      </w:pPr>
      <w:r w:rsidRPr="002D0908">
        <w:rPr>
          <w:rFonts w:asciiTheme="majorBidi" w:hAnsiTheme="majorBidi" w:cstheme="majorBidi"/>
        </w:rPr>
        <w:t>Author #2:</w:t>
      </w:r>
    </w:p>
    <w:p w:rsidR="00537C24" w:rsidRPr="002D0908" w:rsidRDefault="000459AD" w:rsidP="003723E3">
      <w:pPr>
        <w:bidi w:val="0"/>
        <w:spacing w:after="0" w:line="240" w:lineRule="auto"/>
        <w:jc w:val="both"/>
        <w:rPr>
          <w:rFonts w:asciiTheme="majorBidi" w:hAnsiTheme="majorBidi" w:cstheme="majorBidi"/>
        </w:rPr>
      </w:pPr>
      <w:r w:rsidRPr="002D0908">
        <w:rPr>
          <w:rFonts w:asciiTheme="majorBidi" w:hAnsiTheme="majorBidi" w:cstheme="majorBidi"/>
        </w:rPr>
        <w:t>Dr. L</w:t>
      </w:r>
      <w:r w:rsidR="00537C24" w:rsidRPr="002D0908">
        <w:rPr>
          <w:rFonts w:asciiTheme="majorBidi" w:hAnsiTheme="majorBidi" w:cstheme="majorBidi"/>
        </w:rPr>
        <w:t xml:space="preserve">amia </w:t>
      </w:r>
      <w:proofErr w:type="spellStart"/>
      <w:r w:rsidR="003723E3">
        <w:rPr>
          <w:rFonts w:asciiTheme="majorBidi" w:hAnsiTheme="majorBidi" w:cstheme="majorBidi"/>
        </w:rPr>
        <w:t>Sherif</w:t>
      </w:r>
      <w:proofErr w:type="spellEnd"/>
    </w:p>
    <w:p w:rsidR="000459AD" w:rsidRPr="002D0908" w:rsidRDefault="000459AD" w:rsidP="00D87ACB">
      <w:pPr>
        <w:bidi w:val="0"/>
        <w:spacing w:after="0" w:line="240" w:lineRule="auto"/>
        <w:jc w:val="both"/>
        <w:rPr>
          <w:rFonts w:asciiTheme="majorBidi" w:hAnsiTheme="majorBidi" w:cstheme="majorBidi"/>
        </w:rPr>
      </w:pPr>
      <w:r w:rsidRPr="002D0908">
        <w:rPr>
          <w:rFonts w:asciiTheme="majorBidi" w:hAnsiTheme="majorBidi" w:cstheme="majorBidi"/>
        </w:rPr>
        <w:t xml:space="preserve"> </w:t>
      </w:r>
      <w:r w:rsidR="00537C24" w:rsidRPr="002D0908">
        <w:rPr>
          <w:rFonts w:asciiTheme="majorBidi" w:hAnsiTheme="majorBidi" w:cstheme="majorBidi"/>
        </w:rPr>
        <w:t>Assistant</w:t>
      </w:r>
      <w:r w:rsidRPr="002D0908">
        <w:rPr>
          <w:rFonts w:asciiTheme="majorBidi" w:hAnsiTheme="majorBidi" w:cstheme="majorBidi"/>
        </w:rPr>
        <w:t xml:space="preserve"> professor of fixed </w:t>
      </w:r>
      <w:proofErr w:type="spellStart"/>
      <w:r w:rsidRPr="002D0908">
        <w:rPr>
          <w:rFonts w:asciiTheme="majorBidi" w:hAnsiTheme="majorBidi" w:cstheme="majorBidi"/>
        </w:rPr>
        <w:t>prosthodontics</w:t>
      </w:r>
      <w:proofErr w:type="spellEnd"/>
      <w:r w:rsidRPr="002D0908">
        <w:rPr>
          <w:rFonts w:asciiTheme="majorBidi" w:hAnsiTheme="majorBidi" w:cstheme="majorBidi"/>
        </w:rPr>
        <w:t xml:space="preserve">, Cairo </w:t>
      </w:r>
      <w:r w:rsidR="00094DE6" w:rsidRPr="002D0908">
        <w:rPr>
          <w:rFonts w:asciiTheme="majorBidi" w:hAnsiTheme="majorBidi" w:cstheme="majorBidi"/>
        </w:rPr>
        <w:t>University</w:t>
      </w:r>
    </w:p>
    <w:p w:rsidR="003723E3" w:rsidRDefault="001919A5" w:rsidP="003723E3">
      <w:pPr>
        <w:bidi w:val="0"/>
        <w:spacing w:after="0" w:line="240" w:lineRule="auto"/>
        <w:jc w:val="both"/>
        <w:rPr>
          <w:rFonts w:asciiTheme="majorBidi" w:hAnsiTheme="majorBidi" w:cstheme="majorBidi"/>
          <w:color w:val="000000"/>
          <w:sz w:val="24"/>
          <w:szCs w:val="24"/>
          <w:shd w:val="clear" w:color="auto" w:fill="FFFFFF"/>
        </w:rPr>
      </w:pPr>
      <w:hyperlink r:id="rId9" w:history="1">
        <w:r w:rsidR="003723E3" w:rsidRPr="003723E3">
          <w:rPr>
            <w:rStyle w:val="Hyperlink"/>
            <w:rFonts w:asciiTheme="majorBidi" w:hAnsiTheme="majorBidi" w:cstheme="majorBidi"/>
            <w:sz w:val="24"/>
            <w:szCs w:val="24"/>
            <w:shd w:val="clear" w:color="auto" w:fill="FFFFFF"/>
          </w:rPr>
          <w:t>lamiasherif@hotmail.com</w:t>
        </w:r>
      </w:hyperlink>
    </w:p>
    <w:p w:rsidR="003723E3" w:rsidRDefault="003723E3" w:rsidP="003723E3">
      <w:pPr>
        <w:bidi w:val="0"/>
        <w:spacing w:after="0" w:line="240" w:lineRule="auto"/>
        <w:jc w:val="both"/>
        <w:rPr>
          <w:rFonts w:asciiTheme="majorBidi" w:hAnsiTheme="majorBidi" w:cstheme="majorBidi"/>
          <w:color w:val="000000"/>
          <w:sz w:val="24"/>
          <w:szCs w:val="24"/>
          <w:shd w:val="clear" w:color="auto" w:fill="FFFFFF"/>
        </w:rPr>
      </w:pPr>
    </w:p>
    <w:p w:rsidR="003723E3" w:rsidRDefault="003723E3" w:rsidP="003723E3">
      <w:pPr>
        <w:bidi w:val="0"/>
        <w:spacing w:after="0" w:line="240" w:lineRule="auto"/>
        <w:jc w:val="both"/>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Author #3:</w:t>
      </w:r>
    </w:p>
    <w:p w:rsidR="003723E3" w:rsidRDefault="003723E3" w:rsidP="003723E3">
      <w:pPr>
        <w:bidi w:val="0"/>
        <w:spacing w:after="0" w:line="240" w:lineRule="auto"/>
        <w:jc w:val="both"/>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Dr. </w:t>
      </w:r>
      <w:proofErr w:type="spellStart"/>
      <w:r>
        <w:rPr>
          <w:rFonts w:asciiTheme="majorBidi" w:hAnsiTheme="majorBidi" w:cstheme="majorBidi"/>
          <w:color w:val="000000"/>
          <w:sz w:val="24"/>
          <w:szCs w:val="24"/>
          <w:shd w:val="clear" w:color="auto" w:fill="FFFFFF"/>
        </w:rPr>
        <w:t>Naglaa</w:t>
      </w:r>
      <w:proofErr w:type="spellEnd"/>
      <w:r>
        <w:rPr>
          <w:rFonts w:asciiTheme="majorBidi" w:hAnsiTheme="majorBidi" w:cstheme="majorBidi"/>
          <w:color w:val="000000"/>
          <w:sz w:val="24"/>
          <w:szCs w:val="24"/>
          <w:shd w:val="clear" w:color="auto" w:fill="FFFFFF"/>
        </w:rPr>
        <w:t xml:space="preserve"> </w:t>
      </w:r>
      <w:proofErr w:type="spellStart"/>
      <w:r>
        <w:rPr>
          <w:rFonts w:asciiTheme="majorBidi" w:hAnsiTheme="majorBidi" w:cstheme="majorBidi"/>
          <w:color w:val="000000"/>
          <w:sz w:val="24"/>
          <w:szCs w:val="24"/>
          <w:shd w:val="clear" w:color="auto" w:fill="FFFFFF"/>
        </w:rPr>
        <w:t>Abdelwahed</w:t>
      </w:r>
      <w:proofErr w:type="spellEnd"/>
    </w:p>
    <w:p w:rsidR="003723E3" w:rsidRDefault="003723E3" w:rsidP="003723E3">
      <w:pPr>
        <w:bidi w:val="0"/>
        <w:spacing w:after="0" w:line="240" w:lineRule="auto"/>
        <w:jc w:val="both"/>
        <w:rPr>
          <w:rFonts w:asciiTheme="majorBidi" w:hAnsiTheme="majorBidi" w:cstheme="majorBidi"/>
          <w:color w:val="000000"/>
          <w:sz w:val="24"/>
          <w:szCs w:val="24"/>
          <w:shd w:val="clear" w:color="auto" w:fill="FFFFFF"/>
        </w:rPr>
      </w:pPr>
      <w:r w:rsidRPr="003723E3">
        <w:rPr>
          <w:rFonts w:asciiTheme="majorBidi" w:hAnsiTheme="majorBidi" w:cstheme="majorBidi"/>
          <w:color w:val="000000"/>
          <w:sz w:val="24"/>
          <w:szCs w:val="24"/>
          <w:shd w:val="clear" w:color="auto" w:fill="FFFFFF"/>
        </w:rPr>
        <w:t>Assistant professor of oral and maxillofacial radiology, Cairo University</w:t>
      </w:r>
    </w:p>
    <w:p w:rsidR="003723E3" w:rsidRDefault="003723E3" w:rsidP="003723E3">
      <w:pPr>
        <w:bidi w:val="0"/>
        <w:spacing w:after="0" w:line="240" w:lineRule="auto"/>
        <w:jc w:val="both"/>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 xml:space="preserve"> </w:t>
      </w:r>
    </w:p>
    <w:p w:rsidR="003723E3" w:rsidRPr="003723E3" w:rsidRDefault="003723E3" w:rsidP="003723E3">
      <w:pPr>
        <w:bidi w:val="0"/>
        <w:spacing w:line="480" w:lineRule="auto"/>
        <w:jc w:val="both"/>
        <w:rPr>
          <w:rFonts w:asciiTheme="majorBidi" w:hAnsiTheme="majorBidi" w:cstheme="majorBidi"/>
          <w:color w:val="000000"/>
          <w:sz w:val="24"/>
          <w:szCs w:val="24"/>
          <w:shd w:val="clear" w:color="auto" w:fill="FFFFFF"/>
        </w:rPr>
      </w:pPr>
    </w:p>
    <w:p w:rsidR="00537C24" w:rsidRPr="002D0908" w:rsidRDefault="00537C24" w:rsidP="00D87ACB">
      <w:pPr>
        <w:bidi w:val="0"/>
        <w:spacing w:after="0" w:line="240" w:lineRule="auto"/>
        <w:jc w:val="both"/>
        <w:rPr>
          <w:rFonts w:asciiTheme="majorBidi" w:hAnsiTheme="majorBidi" w:cstheme="majorBidi"/>
        </w:rPr>
      </w:pPr>
      <w:r w:rsidRPr="002D0908">
        <w:rPr>
          <w:rFonts w:asciiTheme="majorBidi" w:hAnsiTheme="majorBidi" w:cstheme="majorBidi"/>
        </w:rPr>
        <w:t>Word count of abstract: 185</w:t>
      </w:r>
    </w:p>
    <w:p w:rsidR="00537C24" w:rsidRPr="002D0908" w:rsidRDefault="00537C24" w:rsidP="00D87ACB">
      <w:pPr>
        <w:bidi w:val="0"/>
        <w:spacing w:after="0" w:line="240" w:lineRule="auto"/>
        <w:jc w:val="both"/>
        <w:rPr>
          <w:rFonts w:asciiTheme="majorBidi" w:hAnsiTheme="majorBidi" w:cstheme="majorBidi"/>
        </w:rPr>
      </w:pPr>
      <w:r w:rsidRPr="002D0908">
        <w:rPr>
          <w:rFonts w:asciiTheme="majorBidi" w:hAnsiTheme="majorBidi" w:cstheme="majorBidi"/>
        </w:rPr>
        <w:t>Word count of manuscript: 2379</w:t>
      </w:r>
    </w:p>
    <w:p w:rsidR="00537C24" w:rsidRPr="002D0908" w:rsidRDefault="00537C24" w:rsidP="00D87ACB">
      <w:pPr>
        <w:bidi w:val="0"/>
        <w:spacing w:after="0" w:line="240" w:lineRule="auto"/>
        <w:jc w:val="both"/>
        <w:rPr>
          <w:rFonts w:asciiTheme="majorBidi" w:hAnsiTheme="majorBidi" w:cstheme="majorBidi"/>
        </w:rPr>
      </w:pPr>
      <w:r w:rsidRPr="002D0908">
        <w:rPr>
          <w:rFonts w:asciiTheme="majorBidi" w:hAnsiTheme="majorBidi" w:cstheme="majorBidi"/>
        </w:rPr>
        <w:t>Number of tables: 4</w:t>
      </w:r>
    </w:p>
    <w:p w:rsidR="00537C24" w:rsidRPr="002D0908" w:rsidRDefault="00537C24" w:rsidP="00D87ACB">
      <w:pPr>
        <w:bidi w:val="0"/>
        <w:spacing w:after="0" w:line="240" w:lineRule="auto"/>
        <w:jc w:val="both"/>
        <w:rPr>
          <w:rFonts w:asciiTheme="majorBidi" w:hAnsiTheme="majorBidi" w:cstheme="majorBidi"/>
        </w:rPr>
      </w:pPr>
      <w:r w:rsidRPr="002D0908">
        <w:rPr>
          <w:rFonts w:asciiTheme="majorBidi" w:hAnsiTheme="majorBidi" w:cstheme="majorBidi"/>
        </w:rPr>
        <w:t>Number of figures: 2</w:t>
      </w:r>
    </w:p>
    <w:p w:rsidR="005F299A" w:rsidRPr="002D0908" w:rsidRDefault="00537C24" w:rsidP="00D87ACB">
      <w:pPr>
        <w:bidi w:val="0"/>
        <w:spacing w:after="0" w:line="360" w:lineRule="auto"/>
        <w:jc w:val="both"/>
        <w:rPr>
          <w:rFonts w:asciiTheme="majorBidi" w:hAnsiTheme="majorBidi" w:cstheme="majorBidi"/>
          <w:b/>
          <w:bCs/>
          <w:sz w:val="28"/>
          <w:szCs w:val="28"/>
          <w:lang w:bidi="ar-EG"/>
        </w:rPr>
      </w:pPr>
      <w:r w:rsidRPr="002D0908">
        <w:rPr>
          <w:rFonts w:asciiTheme="majorBidi" w:hAnsiTheme="majorBidi" w:cstheme="majorBidi"/>
          <w:b/>
          <w:bCs/>
        </w:rPr>
        <w:br w:type="page"/>
      </w:r>
      <w:r w:rsidR="00BF2D83" w:rsidRPr="002D0908">
        <w:rPr>
          <w:rFonts w:asciiTheme="majorBidi" w:hAnsiTheme="majorBidi" w:cstheme="majorBidi"/>
          <w:b/>
          <w:bCs/>
          <w:sz w:val="28"/>
          <w:szCs w:val="28"/>
          <w:lang w:bidi="ar-EG"/>
        </w:rPr>
        <w:lastRenderedPageBreak/>
        <w:t>Abstract</w:t>
      </w:r>
    </w:p>
    <w:p w:rsidR="005B6896" w:rsidRPr="002D0908" w:rsidRDefault="00BF2D83" w:rsidP="00D87ACB">
      <w:pPr>
        <w:bidi w:val="0"/>
        <w:spacing w:line="240" w:lineRule="auto"/>
        <w:jc w:val="both"/>
        <w:rPr>
          <w:rFonts w:asciiTheme="majorBidi" w:hAnsiTheme="majorBidi" w:cstheme="majorBidi"/>
          <w:lang w:bidi="ar-EG"/>
        </w:rPr>
      </w:pPr>
      <w:r w:rsidRPr="002D0908">
        <w:rPr>
          <w:rFonts w:asciiTheme="majorBidi" w:hAnsiTheme="majorBidi" w:cstheme="majorBidi"/>
          <w:b/>
          <w:bCs/>
          <w:i/>
          <w:iCs/>
          <w:lang w:bidi="ar-EG"/>
        </w:rPr>
        <w:t>Aim:</w:t>
      </w:r>
      <w:r w:rsidRPr="002D0908">
        <w:rPr>
          <w:rFonts w:asciiTheme="majorBidi" w:hAnsiTheme="majorBidi" w:cstheme="majorBidi"/>
          <w:lang w:bidi="ar-EG"/>
        </w:rPr>
        <w:t xml:space="preserve"> A comparative clinical study incorporating implant-tooth supported FPDs with either rigid or non-rigid connectors, using cone beam computed tomography scans for evaluation. </w:t>
      </w:r>
      <w:r w:rsidRPr="002D0908">
        <w:rPr>
          <w:rFonts w:asciiTheme="majorBidi" w:hAnsiTheme="majorBidi" w:cstheme="majorBidi"/>
          <w:b/>
          <w:bCs/>
          <w:i/>
          <w:iCs/>
          <w:lang w:bidi="ar-EG"/>
        </w:rPr>
        <w:t>Materials and Methods:</w:t>
      </w:r>
      <w:r w:rsidR="00DB6D30" w:rsidRPr="002D0908">
        <w:rPr>
          <w:rFonts w:asciiTheme="majorBidi" w:hAnsiTheme="majorBidi" w:cstheme="majorBidi"/>
          <w:lang w:bidi="ar-EG"/>
        </w:rPr>
        <w:t xml:space="preserve">  10</w:t>
      </w:r>
      <w:r w:rsidRPr="002D0908">
        <w:rPr>
          <w:rFonts w:asciiTheme="majorBidi" w:hAnsiTheme="majorBidi" w:cstheme="majorBidi"/>
          <w:lang w:bidi="ar-EG"/>
        </w:rPr>
        <w:t xml:space="preserve"> titanium cylindrical implants were inserted in the position </w:t>
      </w:r>
      <w:r w:rsidR="00DB6D30" w:rsidRPr="002D0908">
        <w:rPr>
          <w:rFonts w:asciiTheme="majorBidi" w:hAnsiTheme="majorBidi" w:cstheme="majorBidi"/>
          <w:lang w:bidi="ar-EG"/>
        </w:rPr>
        <w:t xml:space="preserve">of the distal abutments, in ten </w:t>
      </w:r>
      <w:r w:rsidR="005B6896" w:rsidRPr="002D0908">
        <w:rPr>
          <w:rFonts w:asciiTheme="majorBidi" w:hAnsiTheme="majorBidi" w:cstheme="majorBidi"/>
          <w:lang w:bidi="ar-EG"/>
        </w:rPr>
        <w:t xml:space="preserve">edentulous </w:t>
      </w:r>
      <w:r w:rsidRPr="002D0908">
        <w:rPr>
          <w:rFonts w:asciiTheme="majorBidi" w:hAnsiTheme="majorBidi" w:cstheme="majorBidi"/>
          <w:lang w:bidi="ar-EG"/>
        </w:rPr>
        <w:t>patients. 3-units implant-tooth supported FPDs were constr</w:t>
      </w:r>
      <w:r w:rsidR="00DB6D30" w:rsidRPr="002D0908">
        <w:rPr>
          <w:rFonts w:asciiTheme="majorBidi" w:hAnsiTheme="majorBidi" w:cstheme="majorBidi"/>
          <w:lang w:bidi="ar-EG"/>
        </w:rPr>
        <w:t>ucted. Half of the patients (n=5</w:t>
      </w:r>
      <w:r w:rsidRPr="002D0908">
        <w:rPr>
          <w:rFonts w:asciiTheme="majorBidi" w:hAnsiTheme="majorBidi" w:cstheme="majorBidi"/>
          <w:lang w:bidi="ar-EG"/>
        </w:rPr>
        <w:t>), received 3 units FPD with rigid conne</w:t>
      </w:r>
      <w:r w:rsidR="00DB6D30" w:rsidRPr="002D0908">
        <w:rPr>
          <w:rFonts w:asciiTheme="majorBidi" w:hAnsiTheme="majorBidi" w:cstheme="majorBidi"/>
          <w:lang w:bidi="ar-EG"/>
        </w:rPr>
        <w:t>ction, while the other half (n=5</w:t>
      </w:r>
      <w:r w:rsidRPr="002D0908">
        <w:rPr>
          <w:rFonts w:asciiTheme="majorBidi" w:hAnsiTheme="majorBidi" w:cstheme="majorBidi"/>
          <w:lang w:bidi="ar-EG"/>
        </w:rPr>
        <w:t>), received 3 units FPD with non-rigid connector. CBCT scans were taken immediately following prosthesis loading and after 6 months of loading.</w:t>
      </w:r>
    </w:p>
    <w:p w:rsidR="005B6896" w:rsidRPr="002D0908" w:rsidRDefault="00BF2D83" w:rsidP="00D87ACB">
      <w:pPr>
        <w:bidi w:val="0"/>
        <w:spacing w:line="240" w:lineRule="auto"/>
        <w:jc w:val="both"/>
        <w:rPr>
          <w:rFonts w:asciiTheme="majorBidi" w:hAnsiTheme="majorBidi" w:cstheme="majorBidi"/>
        </w:rPr>
      </w:pPr>
      <w:r w:rsidRPr="002D0908">
        <w:rPr>
          <w:rFonts w:asciiTheme="majorBidi" w:hAnsiTheme="majorBidi" w:cstheme="majorBidi"/>
          <w:lang w:bidi="ar-EG"/>
        </w:rPr>
        <w:t xml:space="preserve"> </w:t>
      </w:r>
      <w:r w:rsidRPr="002D0908">
        <w:rPr>
          <w:rFonts w:asciiTheme="majorBidi" w:hAnsiTheme="majorBidi" w:cstheme="majorBidi"/>
          <w:b/>
          <w:bCs/>
          <w:i/>
          <w:iCs/>
          <w:lang w:bidi="ar-EG"/>
        </w:rPr>
        <w:t>Results:</w:t>
      </w:r>
      <w:r w:rsidRPr="002D0908">
        <w:rPr>
          <w:rFonts w:asciiTheme="majorBidi" w:hAnsiTheme="majorBidi" w:cstheme="majorBidi"/>
          <w:lang w:bidi="ar-EG"/>
        </w:rPr>
        <w:t xml:space="preserve"> </w:t>
      </w:r>
      <w:r w:rsidRPr="002D0908">
        <w:rPr>
          <w:rFonts w:asciiTheme="majorBidi" w:hAnsiTheme="majorBidi" w:cstheme="majorBidi"/>
        </w:rPr>
        <w:t>Regarding bone loss, non-rigid group showed significantly higher mean bone loss than rigid group around implant abutments (6.5±1.2 and</w:t>
      </w:r>
      <w:r w:rsidR="007463BF" w:rsidRPr="002D0908">
        <w:rPr>
          <w:rFonts w:asciiTheme="majorBidi" w:hAnsiTheme="majorBidi" w:cstheme="majorBidi"/>
        </w:rPr>
        <w:t xml:space="preserve"> </w:t>
      </w:r>
      <w:r w:rsidR="00244682" w:rsidRPr="002D0908">
        <w:rPr>
          <w:rFonts w:asciiTheme="majorBidi" w:hAnsiTheme="majorBidi" w:cstheme="majorBidi"/>
        </w:rPr>
        <w:t>2±0.5</w:t>
      </w:r>
      <w:r w:rsidR="005B6896" w:rsidRPr="002D0908">
        <w:rPr>
          <w:rFonts w:asciiTheme="majorBidi" w:hAnsiTheme="majorBidi" w:cstheme="majorBidi"/>
        </w:rPr>
        <w:t>)</w:t>
      </w:r>
      <w:r w:rsidRPr="002D0908">
        <w:rPr>
          <w:rFonts w:asciiTheme="majorBidi" w:hAnsiTheme="majorBidi" w:cstheme="majorBidi"/>
        </w:rPr>
        <w:t xml:space="preserve">. While around natural teeth abutments, rigid group showed statistically higher bone loss than non-rigid group </w:t>
      </w:r>
      <w:r w:rsidR="007463BF" w:rsidRPr="002D0908">
        <w:rPr>
          <w:rFonts w:asciiTheme="majorBidi" w:hAnsiTheme="majorBidi" w:cstheme="majorBidi"/>
        </w:rPr>
        <w:t xml:space="preserve">(-8.1±1.6 and </w:t>
      </w:r>
      <w:r w:rsidR="00244682" w:rsidRPr="002D0908">
        <w:rPr>
          <w:rFonts w:asciiTheme="majorBidi" w:hAnsiTheme="majorBidi" w:cstheme="majorBidi"/>
        </w:rPr>
        <w:t>9.2±2</w:t>
      </w:r>
      <w:r w:rsidRPr="002D0908">
        <w:rPr>
          <w:rFonts w:asciiTheme="majorBidi" w:hAnsiTheme="majorBidi" w:cstheme="majorBidi"/>
        </w:rPr>
        <w:t xml:space="preserve">, respectively). </w:t>
      </w:r>
      <w:r w:rsidRPr="002D0908">
        <w:rPr>
          <w:rFonts w:asciiTheme="majorBidi" w:hAnsiTheme="majorBidi" w:cstheme="majorBidi"/>
          <w:color w:val="000000"/>
          <w:lang w:bidi="ar-EG"/>
        </w:rPr>
        <w:t>Regarding</w:t>
      </w:r>
      <w:r w:rsidRPr="002D0908">
        <w:rPr>
          <w:rFonts w:asciiTheme="majorBidi" w:hAnsiTheme="majorBidi" w:cstheme="majorBidi"/>
        </w:rPr>
        <w:t xml:space="preserve"> change in density profile, non-rigid group showed </w:t>
      </w:r>
      <w:r w:rsidR="005B6896" w:rsidRPr="002D0908">
        <w:rPr>
          <w:rFonts w:asciiTheme="majorBidi" w:hAnsiTheme="majorBidi" w:cstheme="majorBidi"/>
        </w:rPr>
        <w:t>more</w:t>
      </w:r>
      <w:r w:rsidRPr="002D0908">
        <w:rPr>
          <w:rFonts w:asciiTheme="majorBidi" w:hAnsiTheme="majorBidi" w:cstheme="majorBidi"/>
        </w:rPr>
        <w:t xml:space="preserve"> decrease in density profile than rigid group (-322± </w:t>
      </w:r>
      <w:r w:rsidR="00244682" w:rsidRPr="002D0908">
        <w:rPr>
          <w:rFonts w:asciiTheme="majorBidi" w:hAnsiTheme="majorBidi" w:cstheme="majorBidi"/>
          <w:color w:val="000000"/>
        </w:rPr>
        <w:t>75.3</w:t>
      </w:r>
      <w:r w:rsidRPr="002D0908">
        <w:rPr>
          <w:rFonts w:asciiTheme="majorBidi" w:hAnsiTheme="majorBidi" w:cstheme="majorBidi"/>
        </w:rPr>
        <w:t xml:space="preserve"> and -95.3± </w:t>
      </w:r>
      <w:r w:rsidR="00244682" w:rsidRPr="002D0908">
        <w:rPr>
          <w:rFonts w:asciiTheme="majorBidi" w:hAnsiTheme="majorBidi" w:cstheme="majorBidi"/>
          <w:color w:val="000000"/>
        </w:rPr>
        <w:t>21.6</w:t>
      </w:r>
      <w:r w:rsidRPr="002D0908">
        <w:rPr>
          <w:rFonts w:asciiTheme="majorBidi" w:hAnsiTheme="majorBidi" w:cstheme="majorBidi"/>
        </w:rPr>
        <w:t xml:space="preserve">) around implant abutments. While around natural teeth abutments, rigid group showed </w:t>
      </w:r>
      <w:r w:rsidR="005B6896" w:rsidRPr="002D0908">
        <w:rPr>
          <w:rFonts w:asciiTheme="majorBidi" w:hAnsiTheme="majorBidi" w:cstheme="majorBidi"/>
        </w:rPr>
        <w:t>more</w:t>
      </w:r>
      <w:r w:rsidRPr="002D0908">
        <w:rPr>
          <w:rFonts w:asciiTheme="majorBidi" w:hAnsiTheme="majorBidi" w:cstheme="majorBidi"/>
        </w:rPr>
        <w:t xml:space="preserve"> decrease in density profile than non-rigid group </w:t>
      </w:r>
      <w:r w:rsidR="007463BF" w:rsidRPr="002D0908">
        <w:rPr>
          <w:rFonts w:asciiTheme="majorBidi" w:hAnsiTheme="majorBidi" w:cstheme="majorBidi"/>
        </w:rPr>
        <w:t>(-12.2±3.5 and 7.3±2.5</w:t>
      </w:r>
      <w:r w:rsidRPr="002D0908">
        <w:rPr>
          <w:rFonts w:asciiTheme="majorBidi" w:hAnsiTheme="majorBidi" w:cstheme="majorBidi"/>
        </w:rPr>
        <w:t>).</w:t>
      </w:r>
    </w:p>
    <w:p w:rsidR="00BF2D83" w:rsidRPr="002D0908" w:rsidRDefault="00BF2D83" w:rsidP="00D87ACB">
      <w:pPr>
        <w:bidi w:val="0"/>
        <w:spacing w:line="240" w:lineRule="auto"/>
        <w:jc w:val="both"/>
        <w:rPr>
          <w:rFonts w:asciiTheme="majorBidi" w:hAnsiTheme="majorBidi" w:cstheme="majorBidi"/>
          <w:b/>
          <w:bCs/>
          <w:sz w:val="28"/>
          <w:szCs w:val="28"/>
          <w:lang w:bidi="ar-EG"/>
        </w:rPr>
      </w:pPr>
      <w:r w:rsidRPr="002D0908">
        <w:rPr>
          <w:rFonts w:asciiTheme="majorBidi" w:hAnsiTheme="majorBidi" w:cstheme="majorBidi"/>
        </w:rPr>
        <w:t xml:space="preserve"> </w:t>
      </w:r>
      <w:r w:rsidRPr="002D0908">
        <w:rPr>
          <w:rFonts w:asciiTheme="majorBidi" w:hAnsiTheme="majorBidi" w:cstheme="majorBidi"/>
          <w:b/>
          <w:bCs/>
          <w:i/>
          <w:iCs/>
        </w:rPr>
        <w:t>Conclusions:</w:t>
      </w:r>
      <w:r w:rsidRPr="002D0908">
        <w:rPr>
          <w:rFonts w:asciiTheme="majorBidi" w:hAnsiTheme="majorBidi" w:cstheme="majorBidi"/>
        </w:rPr>
        <w:t xml:space="preserve">  Non-rigid connectors </w:t>
      </w:r>
      <w:r w:rsidR="005B6896" w:rsidRPr="002D0908">
        <w:rPr>
          <w:rFonts w:asciiTheme="majorBidi" w:hAnsiTheme="majorBidi" w:cstheme="majorBidi"/>
        </w:rPr>
        <w:t xml:space="preserve">cause </w:t>
      </w:r>
      <w:r w:rsidRPr="002D0908">
        <w:rPr>
          <w:rFonts w:asciiTheme="majorBidi" w:hAnsiTheme="majorBidi" w:cstheme="majorBidi"/>
        </w:rPr>
        <w:t xml:space="preserve">increases bone </w:t>
      </w:r>
      <w:proofErr w:type="spellStart"/>
      <w:r w:rsidRPr="002D0908">
        <w:rPr>
          <w:rFonts w:asciiTheme="majorBidi" w:hAnsiTheme="majorBidi" w:cstheme="majorBidi"/>
        </w:rPr>
        <w:t>resorption</w:t>
      </w:r>
      <w:proofErr w:type="spellEnd"/>
      <w:r w:rsidRPr="002D0908">
        <w:rPr>
          <w:rFonts w:asciiTheme="majorBidi" w:hAnsiTheme="majorBidi" w:cstheme="majorBidi"/>
        </w:rPr>
        <w:t xml:space="preserve"> and decreases bone density around the implant system. </w:t>
      </w:r>
    </w:p>
    <w:p w:rsidR="00BF2D83" w:rsidRPr="002D0908" w:rsidRDefault="00BF2D83" w:rsidP="00D87ACB">
      <w:pPr>
        <w:bidi w:val="0"/>
        <w:spacing w:after="0" w:line="240" w:lineRule="auto"/>
        <w:ind w:left="900"/>
        <w:jc w:val="both"/>
        <w:rPr>
          <w:rFonts w:asciiTheme="majorBidi" w:hAnsiTheme="majorBidi" w:cstheme="majorBidi"/>
          <w:sz w:val="24"/>
          <w:szCs w:val="24"/>
        </w:rPr>
      </w:pPr>
      <w:r w:rsidRPr="002D0908">
        <w:rPr>
          <w:rFonts w:asciiTheme="majorBidi" w:hAnsiTheme="majorBidi" w:cstheme="majorBidi"/>
          <w:sz w:val="24"/>
          <w:szCs w:val="24"/>
        </w:rPr>
        <w:t xml:space="preserve">  </w:t>
      </w:r>
    </w:p>
    <w:p w:rsidR="00BF2D83" w:rsidRPr="002D0908" w:rsidRDefault="00BF2D83" w:rsidP="00D87ACB">
      <w:pPr>
        <w:tabs>
          <w:tab w:val="left" w:pos="6004"/>
        </w:tabs>
        <w:bidi w:val="0"/>
        <w:spacing w:after="0" w:line="480" w:lineRule="auto"/>
        <w:jc w:val="both"/>
        <w:rPr>
          <w:rFonts w:asciiTheme="majorBidi" w:hAnsiTheme="majorBidi" w:cstheme="majorBidi"/>
          <w:sz w:val="28"/>
          <w:szCs w:val="28"/>
        </w:rPr>
      </w:pPr>
      <w:r w:rsidRPr="002D0908">
        <w:rPr>
          <w:rFonts w:asciiTheme="majorBidi" w:hAnsiTheme="majorBidi" w:cstheme="majorBidi"/>
          <w:b/>
          <w:bCs/>
          <w:sz w:val="28"/>
          <w:szCs w:val="28"/>
          <w:lang w:bidi="ar-EG"/>
        </w:rPr>
        <w:t>Introduction</w:t>
      </w:r>
      <w:r w:rsidR="007F4FE8" w:rsidRPr="002D0908">
        <w:rPr>
          <w:rFonts w:asciiTheme="majorBidi" w:hAnsiTheme="majorBidi" w:cstheme="majorBidi"/>
          <w:b/>
          <w:bCs/>
          <w:sz w:val="28"/>
          <w:szCs w:val="28"/>
          <w:lang w:bidi="ar-EG"/>
        </w:rPr>
        <w:tab/>
      </w:r>
    </w:p>
    <w:p w:rsidR="00B93FEA" w:rsidRPr="002D0908" w:rsidRDefault="00BF2D83" w:rsidP="00D87ACB">
      <w:pPr>
        <w:pStyle w:val="Default"/>
        <w:spacing w:line="360" w:lineRule="auto"/>
        <w:jc w:val="both"/>
        <w:rPr>
          <w:rFonts w:asciiTheme="majorBidi" w:hAnsiTheme="majorBidi" w:cstheme="majorBidi"/>
        </w:rPr>
      </w:pPr>
      <w:r w:rsidRPr="002D0908">
        <w:rPr>
          <w:rFonts w:asciiTheme="majorBidi" w:hAnsiTheme="majorBidi" w:cstheme="majorBidi"/>
          <w:lang w:bidi="ar-EG"/>
        </w:rPr>
        <w:t>Implant-supported FPD have been shown to be a predictable treatment modality</w:t>
      </w:r>
      <w:sdt>
        <w:sdtPr>
          <w:rPr>
            <w:rFonts w:asciiTheme="majorBidi" w:hAnsiTheme="majorBidi" w:cstheme="majorBidi"/>
            <w:lang w:bidi="ar-EG"/>
          </w:rPr>
          <w:id w:val="392633985"/>
          <w:citation/>
        </w:sdtPr>
        <w:sdtContent>
          <w:r w:rsidR="001919A5" w:rsidRPr="002D0908">
            <w:rPr>
              <w:rFonts w:asciiTheme="majorBidi" w:hAnsiTheme="majorBidi" w:cstheme="majorBidi"/>
              <w:lang w:bidi="ar-EG"/>
            </w:rPr>
            <w:fldChar w:fldCharType="begin"/>
          </w:r>
          <w:r w:rsidR="00B93FEA" w:rsidRPr="002D0908">
            <w:rPr>
              <w:rFonts w:asciiTheme="majorBidi" w:hAnsiTheme="majorBidi" w:cstheme="majorBidi"/>
              <w:lang w:bidi="ar-EG"/>
            </w:rPr>
            <w:instrText xml:space="preserve"> CITATION Lin98 \l 1033 </w:instrText>
          </w:r>
          <w:r w:rsidR="001919A5" w:rsidRPr="002D0908">
            <w:rPr>
              <w:rFonts w:asciiTheme="majorBidi" w:hAnsiTheme="majorBidi" w:cstheme="majorBidi"/>
              <w:lang w:bidi="ar-EG"/>
            </w:rPr>
            <w:fldChar w:fldCharType="separate"/>
          </w:r>
          <w:r w:rsidR="00972DFB" w:rsidRPr="002D0908">
            <w:rPr>
              <w:rFonts w:asciiTheme="majorBidi" w:hAnsiTheme="majorBidi" w:cstheme="majorBidi"/>
              <w:noProof/>
              <w:lang w:bidi="ar-EG"/>
            </w:rPr>
            <w:t xml:space="preserve"> (Lindh T G. J., 1998)</w:t>
          </w:r>
          <w:r w:rsidR="001919A5" w:rsidRPr="002D0908">
            <w:rPr>
              <w:rFonts w:asciiTheme="majorBidi" w:hAnsiTheme="majorBidi" w:cstheme="majorBidi"/>
              <w:lang w:bidi="ar-EG"/>
            </w:rPr>
            <w:fldChar w:fldCharType="end"/>
          </w:r>
        </w:sdtContent>
      </w:sdt>
      <w:r w:rsidR="00B93FEA" w:rsidRPr="002D0908">
        <w:rPr>
          <w:rFonts w:asciiTheme="majorBidi" w:hAnsiTheme="majorBidi" w:cstheme="majorBidi"/>
          <w:vertAlign w:val="superscript"/>
          <w:rtl/>
          <w:lang w:bidi="ar-EG"/>
        </w:rPr>
        <w:t xml:space="preserve"> </w:t>
      </w:r>
      <w:r w:rsidRPr="002D0908">
        <w:rPr>
          <w:rFonts w:asciiTheme="majorBidi" w:hAnsiTheme="majorBidi" w:cstheme="majorBidi"/>
          <w:lang w:bidi="ar-EG"/>
        </w:rPr>
        <w:t xml:space="preserve">. However, in clinical practice this restoration may not be possible due to inadequate bone volume, bone </w:t>
      </w:r>
      <w:proofErr w:type="spellStart"/>
      <w:r w:rsidRPr="002D0908">
        <w:rPr>
          <w:rFonts w:asciiTheme="majorBidi" w:hAnsiTheme="majorBidi" w:cstheme="majorBidi"/>
          <w:lang w:bidi="ar-EG"/>
        </w:rPr>
        <w:t>resorption</w:t>
      </w:r>
      <w:proofErr w:type="spellEnd"/>
      <w:r w:rsidRPr="002D0908">
        <w:rPr>
          <w:rFonts w:asciiTheme="majorBidi" w:hAnsiTheme="majorBidi" w:cstheme="majorBidi"/>
          <w:lang w:bidi="ar-EG"/>
        </w:rPr>
        <w:t xml:space="preserve"> and anatomical limitations of space for implants, which might necessitate the use of teeth in combination with implants to support FPDs </w:t>
      </w:r>
      <w:sdt>
        <w:sdtPr>
          <w:rPr>
            <w:rFonts w:asciiTheme="majorBidi" w:hAnsiTheme="majorBidi" w:cstheme="majorBidi"/>
          </w:rPr>
          <w:id w:val="392633973"/>
          <w:citation/>
        </w:sdtPr>
        <w:sdtContent>
          <w:r w:rsidR="001919A5" w:rsidRPr="002D0908">
            <w:rPr>
              <w:rFonts w:asciiTheme="majorBidi" w:hAnsiTheme="majorBidi" w:cstheme="majorBidi"/>
            </w:rPr>
            <w:fldChar w:fldCharType="begin"/>
          </w:r>
          <w:r w:rsidR="00B93FEA" w:rsidRPr="002D0908">
            <w:rPr>
              <w:rFonts w:asciiTheme="majorBidi" w:hAnsiTheme="majorBidi" w:cstheme="majorBidi"/>
            </w:rPr>
            <w:instrText xml:space="preserve"> CITATION Cla06 \l 1033 </w:instrText>
          </w:r>
          <w:r w:rsidR="001919A5" w:rsidRPr="002D0908">
            <w:rPr>
              <w:rFonts w:asciiTheme="majorBidi" w:hAnsiTheme="majorBidi" w:cstheme="majorBidi"/>
            </w:rPr>
            <w:fldChar w:fldCharType="separate"/>
          </w:r>
          <w:r w:rsidR="00972DFB" w:rsidRPr="002D0908">
            <w:rPr>
              <w:rFonts w:asciiTheme="majorBidi" w:hAnsiTheme="majorBidi" w:cstheme="majorBidi"/>
              <w:noProof/>
            </w:rPr>
            <w:t>(Clarh DF, 2006)</w:t>
          </w:r>
          <w:r w:rsidR="001919A5" w:rsidRPr="002D0908">
            <w:rPr>
              <w:rFonts w:asciiTheme="majorBidi" w:hAnsiTheme="majorBidi" w:cstheme="majorBidi"/>
            </w:rPr>
            <w:fldChar w:fldCharType="end"/>
          </w:r>
        </w:sdtContent>
      </w:sdt>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w:t>
      </w:r>
    </w:p>
    <w:p w:rsidR="00246867"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 xml:space="preserve">The main problem of tooth-implant supported prostheses is that dental implants are rigidly fixed to bone by </w:t>
      </w:r>
      <w:proofErr w:type="spellStart"/>
      <w:r w:rsidRPr="002D0908">
        <w:rPr>
          <w:rFonts w:asciiTheme="majorBidi" w:hAnsiTheme="majorBidi" w:cstheme="majorBidi"/>
          <w:sz w:val="24"/>
          <w:szCs w:val="24"/>
          <w:lang w:bidi="ar-EG"/>
        </w:rPr>
        <w:t>osseointegration</w:t>
      </w:r>
      <w:proofErr w:type="spellEnd"/>
      <w:r w:rsidRPr="002D0908">
        <w:rPr>
          <w:rFonts w:asciiTheme="majorBidi" w:hAnsiTheme="majorBidi" w:cstheme="majorBidi"/>
          <w:sz w:val="24"/>
          <w:szCs w:val="24"/>
          <w:lang w:bidi="ar-EG"/>
        </w:rPr>
        <w:t>, while the periodontal ligament provides a resilient attachment and affords some movement of the tooth in the alveolar socket</w:t>
      </w:r>
      <w:r w:rsidR="00B93FEA" w:rsidRPr="002D0908">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392633986"/>
          <w:citation/>
        </w:sdtPr>
        <w:sdtContent>
          <w:r w:rsidR="001919A5" w:rsidRPr="002D0908">
            <w:rPr>
              <w:rFonts w:asciiTheme="majorBidi" w:hAnsiTheme="majorBidi" w:cstheme="majorBidi"/>
              <w:sz w:val="24"/>
              <w:szCs w:val="24"/>
              <w:lang w:bidi="ar-EG"/>
            </w:rPr>
            <w:fldChar w:fldCharType="begin"/>
          </w:r>
          <w:r w:rsidR="00B93FEA" w:rsidRPr="002D0908">
            <w:rPr>
              <w:rFonts w:asciiTheme="majorBidi" w:hAnsiTheme="majorBidi" w:cstheme="majorBidi"/>
              <w:sz w:val="24"/>
              <w:szCs w:val="24"/>
              <w:lang w:bidi="ar-EG"/>
            </w:rPr>
            <w:instrText xml:space="preserve"> CITATION Lin98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(Lindh T G. J., 1998)</w:t>
          </w:r>
          <w:r w:rsidR="001919A5" w:rsidRPr="002D0908">
            <w:rPr>
              <w:rFonts w:asciiTheme="majorBidi" w:hAnsiTheme="majorBidi" w:cstheme="majorBidi"/>
              <w:sz w:val="24"/>
              <w:szCs w:val="24"/>
              <w:lang w:bidi="ar-EG"/>
            </w:rPr>
            <w:fldChar w:fldCharType="end"/>
          </w:r>
        </w:sdtContent>
      </w:sdt>
      <w:r w:rsidRPr="002D0908">
        <w:rPr>
          <w:rFonts w:asciiTheme="majorBidi" w:hAnsiTheme="majorBidi" w:cstheme="majorBidi"/>
          <w:sz w:val="24"/>
          <w:szCs w:val="24"/>
          <w:lang w:bidi="ar-EG"/>
        </w:rPr>
        <w:t xml:space="preserve">. This difference in union between implants and teeth means that they behave very differently in response to the different </w:t>
      </w:r>
      <w:proofErr w:type="spellStart"/>
      <w:r w:rsidRPr="002D0908">
        <w:rPr>
          <w:rFonts w:asciiTheme="majorBidi" w:hAnsiTheme="majorBidi" w:cstheme="majorBidi"/>
          <w:sz w:val="24"/>
          <w:szCs w:val="24"/>
          <w:lang w:bidi="ar-EG"/>
        </w:rPr>
        <w:t>masticatory</w:t>
      </w:r>
      <w:proofErr w:type="spellEnd"/>
      <w:r w:rsidRPr="002D0908">
        <w:rPr>
          <w:rFonts w:asciiTheme="majorBidi" w:hAnsiTheme="majorBidi" w:cstheme="majorBidi"/>
          <w:sz w:val="24"/>
          <w:szCs w:val="24"/>
          <w:lang w:bidi="ar-EG"/>
        </w:rPr>
        <w:t xml:space="preserve"> forces, both natural and pathological</w:t>
      </w:r>
      <w:r w:rsidR="00B93FEA" w:rsidRPr="002D0908">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392633988"/>
          <w:citation/>
        </w:sdtPr>
        <w:sdtContent>
          <w:r w:rsidR="001919A5" w:rsidRPr="002D0908">
            <w:rPr>
              <w:rFonts w:asciiTheme="majorBidi" w:hAnsiTheme="majorBidi" w:cstheme="majorBidi"/>
              <w:sz w:val="24"/>
              <w:szCs w:val="24"/>
              <w:lang w:bidi="ar-EG"/>
            </w:rPr>
            <w:fldChar w:fldCharType="begin"/>
          </w:r>
          <w:r w:rsidR="00B93FEA" w:rsidRPr="002D0908">
            <w:rPr>
              <w:rFonts w:asciiTheme="majorBidi" w:hAnsiTheme="majorBidi" w:cstheme="majorBidi"/>
              <w:sz w:val="24"/>
              <w:szCs w:val="24"/>
              <w:lang w:bidi="ar-EG"/>
            </w:rPr>
            <w:instrText xml:space="preserve"> CITATION Car10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(Carillo C, 2010)</w:t>
          </w:r>
          <w:r w:rsidR="001919A5" w:rsidRPr="002D0908">
            <w:rPr>
              <w:rFonts w:asciiTheme="majorBidi" w:hAnsiTheme="majorBidi" w:cstheme="majorBidi"/>
              <w:sz w:val="24"/>
              <w:szCs w:val="24"/>
              <w:lang w:bidi="ar-EG"/>
            </w:rPr>
            <w:fldChar w:fldCharType="end"/>
          </w:r>
        </w:sdtContent>
      </w:sdt>
      <w:r w:rsidRPr="002D0908">
        <w:rPr>
          <w:rFonts w:asciiTheme="majorBidi" w:hAnsiTheme="majorBidi" w:cstheme="majorBidi"/>
          <w:sz w:val="24"/>
          <w:szCs w:val="24"/>
          <w:lang w:bidi="ar-EG"/>
        </w:rPr>
        <w:t>.</w:t>
      </w:r>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 xml:space="preserve"> The amount of tooth movement with healthy periodontal ligament against that of an </w:t>
      </w:r>
      <w:proofErr w:type="spellStart"/>
      <w:r w:rsidRPr="002D0908">
        <w:rPr>
          <w:rFonts w:asciiTheme="majorBidi" w:hAnsiTheme="majorBidi" w:cstheme="majorBidi"/>
          <w:sz w:val="24"/>
          <w:szCs w:val="24"/>
          <w:lang w:bidi="ar-EG"/>
        </w:rPr>
        <w:t>osseointegrated</w:t>
      </w:r>
      <w:proofErr w:type="spellEnd"/>
      <w:r w:rsidRPr="002D0908">
        <w:rPr>
          <w:rFonts w:asciiTheme="majorBidi" w:hAnsiTheme="majorBidi" w:cstheme="majorBidi"/>
          <w:sz w:val="24"/>
          <w:szCs w:val="24"/>
          <w:lang w:bidi="ar-EG"/>
        </w:rPr>
        <w:t xml:space="preserve"> dental implant can be 5-10 times greater</w:t>
      </w:r>
      <w:r w:rsidR="0093468E" w:rsidRPr="002D0908">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392633990"/>
          <w:citation/>
        </w:sdtPr>
        <w:sdtContent>
          <w:r w:rsidR="001919A5" w:rsidRPr="002D0908">
            <w:rPr>
              <w:rFonts w:asciiTheme="majorBidi" w:hAnsiTheme="majorBidi" w:cstheme="majorBidi"/>
              <w:sz w:val="24"/>
              <w:szCs w:val="24"/>
              <w:lang w:bidi="ar-EG"/>
            </w:rPr>
            <w:fldChar w:fldCharType="begin"/>
          </w:r>
          <w:r w:rsidR="0093468E" w:rsidRPr="002D0908">
            <w:rPr>
              <w:rFonts w:asciiTheme="majorBidi" w:hAnsiTheme="majorBidi" w:cstheme="majorBidi"/>
              <w:sz w:val="24"/>
              <w:szCs w:val="24"/>
              <w:lang w:bidi="ar-EG"/>
            </w:rPr>
            <w:instrText xml:space="preserve"> CITATION Nym00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(Nyman S, 2000)</w:t>
          </w:r>
          <w:r w:rsidR="001919A5" w:rsidRPr="002D0908">
            <w:rPr>
              <w:rFonts w:asciiTheme="majorBidi" w:hAnsiTheme="majorBidi" w:cstheme="majorBidi"/>
              <w:sz w:val="24"/>
              <w:szCs w:val="24"/>
              <w:lang w:bidi="ar-EG"/>
            </w:rPr>
            <w:fldChar w:fldCharType="end"/>
          </w:r>
        </w:sdtContent>
      </w:sdt>
      <w:r w:rsidRPr="002D0908">
        <w:rPr>
          <w:rFonts w:asciiTheme="majorBidi" w:hAnsiTheme="majorBidi" w:cstheme="majorBidi"/>
          <w:sz w:val="24"/>
          <w:szCs w:val="24"/>
          <w:lang w:bidi="ar-EG"/>
        </w:rPr>
        <w:t>. The physiologic movement of the tooth causes the prosthesis to act as a cantilever, resulting in implant overload</w:t>
      </w:r>
      <w:r w:rsidR="0093468E" w:rsidRPr="002D0908">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392634029"/>
          <w:citation/>
        </w:sdtPr>
        <w:sdtContent>
          <w:r w:rsidR="001919A5" w:rsidRPr="002D0908">
            <w:rPr>
              <w:rFonts w:asciiTheme="majorBidi" w:hAnsiTheme="majorBidi" w:cstheme="majorBidi"/>
              <w:sz w:val="24"/>
              <w:szCs w:val="24"/>
              <w:lang w:bidi="ar-EG"/>
            </w:rPr>
            <w:fldChar w:fldCharType="begin"/>
          </w:r>
          <w:r w:rsidR="0093468E" w:rsidRPr="002D0908">
            <w:rPr>
              <w:rFonts w:asciiTheme="majorBidi" w:hAnsiTheme="majorBidi" w:cstheme="majorBidi"/>
              <w:sz w:val="24"/>
              <w:szCs w:val="24"/>
              <w:lang w:bidi="ar-EG"/>
            </w:rPr>
            <w:instrText xml:space="preserve"> CITATION Wyl91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(Wylie RS, 1991)</w:t>
          </w:r>
          <w:r w:rsidR="001919A5" w:rsidRPr="002D0908">
            <w:rPr>
              <w:rFonts w:asciiTheme="majorBidi" w:hAnsiTheme="majorBidi" w:cstheme="majorBidi"/>
              <w:sz w:val="24"/>
              <w:szCs w:val="24"/>
              <w:lang w:bidi="ar-EG"/>
            </w:rPr>
            <w:fldChar w:fldCharType="end"/>
          </w:r>
        </w:sdtContent>
      </w:sdt>
      <w:r w:rsidR="0093468E" w:rsidRPr="002D0908">
        <w:rPr>
          <w:rFonts w:asciiTheme="majorBidi" w:hAnsiTheme="majorBidi" w:cstheme="majorBidi"/>
          <w:sz w:val="24"/>
          <w:szCs w:val="24"/>
          <w:lang w:bidi="ar-EG"/>
        </w:rPr>
        <w:t xml:space="preserve"> and</w:t>
      </w:r>
      <w:sdt>
        <w:sdtPr>
          <w:rPr>
            <w:rFonts w:asciiTheme="majorBidi" w:hAnsiTheme="majorBidi" w:cstheme="majorBidi"/>
            <w:sz w:val="24"/>
            <w:szCs w:val="24"/>
            <w:lang w:bidi="ar-EG"/>
          </w:rPr>
          <w:id w:val="392634030"/>
          <w:citation/>
        </w:sdtPr>
        <w:sdtContent>
          <w:r w:rsidR="001919A5" w:rsidRPr="002D0908">
            <w:rPr>
              <w:rFonts w:asciiTheme="majorBidi" w:hAnsiTheme="majorBidi" w:cstheme="majorBidi"/>
              <w:sz w:val="24"/>
              <w:szCs w:val="24"/>
              <w:lang w:bidi="ar-EG"/>
            </w:rPr>
            <w:fldChar w:fldCharType="begin"/>
          </w:r>
          <w:r w:rsidR="0093468E" w:rsidRPr="002D0908">
            <w:rPr>
              <w:rFonts w:asciiTheme="majorBidi" w:hAnsiTheme="majorBidi" w:cstheme="majorBidi"/>
              <w:sz w:val="24"/>
              <w:szCs w:val="24"/>
              <w:lang w:bidi="ar-EG"/>
            </w:rPr>
            <w:instrText xml:space="preserve"> CITATION Yan99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 xml:space="preserve"> (Yang HS, 1999)</w:t>
          </w:r>
          <w:r w:rsidR="001919A5" w:rsidRPr="002D0908">
            <w:rPr>
              <w:rFonts w:asciiTheme="majorBidi" w:hAnsiTheme="majorBidi" w:cstheme="majorBidi"/>
              <w:sz w:val="24"/>
              <w:szCs w:val="24"/>
              <w:lang w:bidi="ar-EG"/>
            </w:rPr>
            <w:fldChar w:fldCharType="end"/>
          </w:r>
        </w:sdtContent>
      </w:sdt>
      <w:r w:rsidRPr="002D0908">
        <w:rPr>
          <w:rFonts w:asciiTheme="majorBidi" w:hAnsiTheme="majorBidi" w:cstheme="majorBidi"/>
          <w:sz w:val="24"/>
          <w:szCs w:val="24"/>
          <w:lang w:bidi="ar-EG"/>
        </w:rPr>
        <w:t xml:space="preserve">. A potential consequence of such overloading may be </w:t>
      </w:r>
      <w:proofErr w:type="spellStart"/>
      <w:r w:rsidRPr="002D0908">
        <w:rPr>
          <w:rFonts w:asciiTheme="majorBidi" w:hAnsiTheme="majorBidi" w:cstheme="majorBidi"/>
          <w:sz w:val="24"/>
          <w:szCs w:val="24"/>
          <w:lang w:bidi="ar-EG"/>
        </w:rPr>
        <w:t>peri</w:t>
      </w:r>
      <w:proofErr w:type="spellEnd"/>
      <w:r w:rsidRPr="002D0908">
        <w:rPr>
          <w:rFonts w:asciiTheme="majorBidi" w:hAnsiTheme="majorBidi" w:cstheme="majorBidi"/>
          <w:sz w:val="24"/>
          <w:szCs w:val="24"/>
          <w:lang w:bidi="ar-EG"/>
        </w:rPr>
        <w:t xml:space="preserve">-implant marginal bone </w:t>
      </w:r>
      <w:proofErr w:type="spellStart"/>
      <w:r w:rsidRPr="002D0908">
        <w:rPr>
          <w:rFonts w:asciiTheme="majorBidi" w:hAnsiTheme="majorBidi" w:cstheme="majorBidi"/>
          <w:sz w:val="24"/>
          <w:szCs w:val="24"/>
          <w:lang w:bidi="ar-EG"/>
        </w:rPr>
        <w:t>resorption</w:t>
      </w:r>
      <w:proofErr w:type="spellEnd"/>
      <w:r w:rsidRPr="002D0908">
        <w:rPr>
          <w:rFonts w:asciiTheme="majorBidi" w:hAnsiTheme="majorBidi" w:cstheme="majorBidi"/>
          <w:sz w:val="24"/>
          <w:szCs w:val="24"/>
          <w:lang w:bidi="ar-EG"/>
        </w:rPr>
        <w:t xml:space="preserve">, which may eventually cause failure of the </w:t>
      </w:r>
      <w:proofErr w:type="spellStart"/>
      <w:r w:rsidRPr="002D0908">
        <w:rPr>
          <w:rFonts w:asciiTheme="majorBidi" w:hAnsiTheme="majorBidi" w:cstheme="majorBidi"/>
          <w:sz w:val="24"/>
          <w:szCs w:val="24"/>
          <w:lang w:bidi="ar-EG"/>
        </w:rPr>
        <w:t>osseointegration</w:t>
      </w:r>
      <w:proofErr w:type="spellEnd"/>
      <w:r w:rsidRPr="002D0908">
        <w:rPr>
          <w:rFonts w:asciiTheme="majorBidi" w:hAnsiTheme="majorBidi" w:cstheme="majorBidi"/>
          <w:sz w:val="24"/>
          <w:szCs w:val="24"/>
          <w:lang w:bidi="ar-EG"/>
        </w:rPr>
        <w:t xml:space="preserve">. Another problem </w:t>
      </w:r>
      <w:r w:rsidRPr="002D0908">
        <w:rPr>
          <w:rFonts w:asciiTheme="majorBidi" w:hAnsiTheme="majorBidi" w:cstheme="majorBidi"/>
          <w:sz w:val="24"/>
          <w:szCs w:val="24"/>
          <w:lang w:bidi="ar-EG"/>
        </w:rPr>
        <w:lastRenderedPageBreak/>
        <w:t>associated with tooth-implant supported prosthesis is the raised incidence of tooth intrusion</w:t>
      </w:r>
      <w:r w:rsidR="00C9093E" w:rsidRPr="002D0908">
        <w:rPr>
          <w:rFonts w:asciiTheme="majorBidi" w:hAnsiTheme="majorBidi" w:cstheme="majorBidi"/>
          <w:sz w:val="24"/>
          <w:szCs w:val="24"/>
          <w:rtl/>
          <w:lang w:bidi="ar-EG"/>
        </w:rPr>
        <w:t xml:space="preserve"> </w:t>
      </w:r>
      <w:sdt>
        <w:sdtPr>
          <w:rPr>
            <w:rFonts w:asciiTheme="majorBidi" w:hAnsiTheme="majorBidi" w:cstheme="majorBidi"/>
            <w:sz w:val="24"/>
            <w:szCs w:val="24"/>
            <w:lang w:bidi="ar-EG"/>
          </w:rPr>
          <w:id w:val="392634123"/>
          <w:citation/>
        </w:sdtPr>
        <w:sdtContent>
          <w:r w:rsidR="001919A5" w:rsidRPr="002D0908">
            <w:rPr>
              <w:rFonts w:asciiTheme="majorBidi" w:hAnsiTheme="majorBidi" w:cstheme="majorBidi"/>
              <w:sz w:val="24"/>
              <w:szCs w:val="24"/>
              <w:lang w:bidi="ar-EG"/>
            </w:rPr>
            <w:fldChar w:fldCharType="begin"/>
          </w:r>
          <w:r w:rsidR="00C9093E" w:rsidRPr="002D0908">
            <w:rPr>
              <w:rFonts w:asciiTheme="majorBidi" w:hAnsiTheme="majorBidi" w:cstheme="majorBidi"/>
              <w:sz w:val="24"/>
              <w:szCs w:val="24"/>
              <w:lang w:bidi="ar-EG"/>
            </w:rPr>
            <w:instrText xml:space="preserve"> CITATION Gro97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(Gross M, 1997)</w:t>
          </w:r>
          <w:r w:rsidR="001919A5" w:rsidRPr="002D0908">
            <w:rPr>
              <w:rFonts w:asciiTheme="majorBidi" w:hAnsiTheme="majorBidi" w:cstheme="majorBidi"/>
              <w:sz w:val="24"/>
              <w:szCs w:val="24"/>
              <w:lang w:bidi="ar-EG"/>
            </w:rPr>
            <w:fldChar w:fldCharType="end"/>
          </w:r>
        </w:sdtContent>
      </w:sdt>
      <w:r w:rsidR="00C9093E" w:rsidRPr="002D0908">
        <w:rPr>
          <w:rFonts w:asciiTheme="majorBidi" w:hAnsiTheme="majorBidi" w:cstheme="majorBidi"/>
          <w:sz w:val="24"/>
          <w:szCs w:val="24"/>
          <w:lang w:bidi="ar-EG"/>
        </w:rPr>
        <w:t xml:space="preserve"> </w:t>
      </w:r>
      <w:r w:rsidR="002A15B9" w:rsidRPr="002D0908">
        <w:rPr>
          <w:rFonts w:asciiTheme="majorBidi" w:hAnsiTheme="majorBidi" w:cstheme="majorBidi"/>
          <w:sz w:val="24"/>
          <w:szCs w:val="24"/>
          <w:lang w:bidi="ar-EG"/>
        </w:rPr>
        <w:t xml:space="preserve">and </w:t>
      </w:r>
      <w:sdt>
        <w:sdtPr>
          <w:rPr>
            <w:rFonts w:asciiTheme="majorBidi" w:hAnsiTheme="majorBidi" w:cstheme="majorBidi"/>
            <w:sz w:val="24"/>
            <w:szCs w:val="24"/>
            <w:lang w:bidi="ar-EG"/>
          </w:rPr>
          <w:id w:val="392634122"/>
          <w:citation/>
        </w:sdtPr>
        <w:sdtContent>
          <w:r w:rsidR="001919A5" w:rsidRPr="002D0908">
            <w:rPr>
              <w:rFonts w:asciiTheme="majorBidi" w:hAnsiTheme="majorBidi" w:cstheme="majorBidi"/>
              <w:sz w:val="24"/>
              <w:szCs w:val="24"/>
              <w:lang w:bidi="ar-EG"/>
            </w:rPr>
            <w:fldChar w:fldCharType="begin"/>
          </w:r>
          <w:r w:rsidR="00C9093E" w:rsidRPr="002D0908">
            <w:rPr>
              <w:rFonts w:asciiTheme="majorBidi" w:hAnsiTheme="majorBidi" w:cstheme="majorBidi"/>
              <w:sz w:val="24"/>
              <w:szCs w:val="24"/>
              <w:lang w:bidi="ar-EG"/>
            </w:rPr>
            <w:instrText xml:space="preserve"> CITATION Nae01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(Naert I D. J., 2001)</w:t>
          </w:r>
          <w:r w:rsidR="001919A5" w:rsidRPr="002D0908">
            <w:rPr>
              <w:rFonts w:asciiTheme="majorBidi" w:hAnsiTheme="majorBidi" w:cstheme="majorBidi"/>
              <w:sz w:val="24"/>
              <w:szCs w:val="24"/>
              <w:lang w:bidi="ar-EG"/>
            </w:rPr>
            <w:fldChar w:fldCharType="end"/>
          </w:r>
        </w:sdtContent>
      </w:sdt>
      <w:r w:rsidR="00C9093E" w:rsidRPr="002D0908">
        <w:rPr>
          <w:rFonts w:asciiTheme="majorBidi" w:hAnsiTheme="majorBidi" w:cstheme="majorBidi"/>
          <w:sz w:val="24"/>
          <w:szCs w:val="24"/>
          <w:lang w:bidi="ar-EG"/>
        </w:rPr>
        <w:t xml:space="preserve"> .</w:t>
      </w:r>
    </w:p>
    <w:p w:rsidR="00BF2D83" w:rsidRPr="002D0908" w:rsidRDefault="00BF2D83" w:rsidP="00D87ACB">
      <w:pPr>
        <w:bidi w:val="0"/>
        <w:spacing w:after="0" w:line="360" w:lineRule="auto"/>
        <w:ind w:firstLine="720"/>
        <w:jc w:val="both"/>
        <w:rPr>
          <w:rFonts w:asciiTheme="majorBidi" w:hAnsiTheme="majorBidi" w:cstheme="majorBidi"/>
          <w:sz w:val="24"/>
          <w:szCs w:val="24"/>
          <w:lang w:bidi="ar-EG"/>
        </w:rPr>
      </w:pPr>
      <w:r w:rsidRPr="002D0908">
        <w:rPr>
          <w:rFonts w:asciiTheme="majorBidi" w:hAnsiTheme="majorBidi" w:cstheme="majorBidi"/>
          <w:sz w:val="24"/>
          <w:szCs w:val="24"/>
          <w:lang w:bidi="ar-EG"/>
        </w:rPr>
        <w:t>To stabilize the dissimilar mobility between natural teeth and implant system, several methods have been suggested. These include a stress breaker application either in the implant system, which is supplied with resilient elements, or incorporation of a non-rigid connector in the FPD</w:t>
      </w:r>
      <w:r w:rsidR="00C9093E" w:rsidRPr="002D0908">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392634306"/>
          <w:citation/>
        </w:sdtPr>
        <w:sdtContent>
          <w:r w:rsidR="001919A5" w:rsidRPr="002D0908">
            <w:rPr>
              <w:rFonts w:asciiTheme="majorBidi" w:hAnsiTheme="majorBidi" w:cstheme="majorBidi"/>
              <w:sz w:val="24"/>
              <w:szCs w:val="24"/>
              <w:lang w:bidi="ar-EG"/>
            </w:rPr>
            <w:fldChar w:fldCharType="begin"/>
          </w:r>
          <w:r w:rsidR="00C9093E" w:rsidRPr="002D0908">
            <w:rPr>
              <w:rFonts w:asciiTheme="majorBidi" w:hAnsiTheme="majorBidi" w:cstheme="majorBidi"/>
              <w:sz w:val="24"/>
              <w:szCs w:val="24"/>
              <w:lang w:bidi="ar-EG"/>
            </w:rPr>
            <w:instrText xml:space="preserve"> CITATION Ste90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(Steen D, 1990)</w:t>
          </w:r>
          <w:r w:rsidR="001919A5" w:rsidRPr="002D0908">
            <w:rPr>
              <w:rFonts w:asciiTheme="majorBidi" w:hAnsiTheme="majorBidi" w:cstheme="majorBidi"/>
              <w:sz w:val="24"/>
              <w:szCs w:val="24"/>
              <w:lang w:bidi="ar-EG"/>
            </w:rPr>
            <w:fldChar w:fldCharType="end"/>
          </w:r>
        </w:sdtContent>
      </w:sdt>
      <w:r w:rsidR="00C9093E" w:rsidRPr="002D0908">
        <w:rPr>
          <w:rFonts w:asciiTheme="majorBidi" w:hAnsiTheme="majorBidi" w:cstheme="majorBidi"/>
          <w:sz w:val="24"/>
          <w:szCs w:val="24"/>
          <w:lang w:bidi="ar-EG"/>
        </w:rPr>
        <w:t xml:space="preserve"> </w:t>
      </w:r>
      <w:r w:rsidRPr="002D0908">
        <w:rPr>
          <w:rFonts w:asciiTheme="majorBidi" w:hAnsiTheme="majorBidi" w:cstheme="majorBidi"/>
          <w:sz w:val="24"/>
          <w:szCs w:val="24"/>
          <w:lang w:bidi="ar-EG"/>
        </w:rPr>
        <w:t>. The resilient element was expected to act as a stress absorbing device to distribute the force around the implant and compensate for the mobility of the implant. However, various analytical studies have actually casted doubts on its effectiveness</w:t>
      </w:r>
      <w:r w:rsidR="00C9093E" w:rsidRPr="002D0908">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392635084"/>
          <w:citation/>
        </w:sdtPr>
        <w:sdtContent>
          <w:r w:rsidR="001919A5" w:rsidRPr="002D0908">
            <w:rPr>
              <w:rFonts w:asciiTheme="majorBidi" w:hAnsiTheme="majorBidi" w:cstheme="majorBidi"/>
              <w:sz w:val="24"/>
              <w:szCs w:val="24"/>
              <w:lang w:bidi="ar-EG"/>
            </w:rPr>
            <w:fldChar w:fldCharType="begin"/>
          </w:r>
          <w:r w:rsidR="009538C1" w:rsidRPr="002D0908">
            <w:rPr>
              <w:rFonts w:asciiTheme="majorBidi" w:hAnsiTheme="majorBidi" w:cstheme="majorBidi"/>
              <w:sz w:val="24"/>
              <w:szCs w:val="24"/>
              <w:lang w:bidi="ar-EG"/>
            </w:rPr>
            <w:instrText xml:space="preserve"> CITATION Lau98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(Laufer B, 1998)</w:t>
          </w:r>
          <w:r w:rsidR="001919A5" w:rsidRPr="002D0908">
            <w:rPr>
              <w:rFonts w:asciiTheme="majorBidi" w:hAnsiTheme="majorBidi" w:cstheme="majorBidi"/>
              <w:sz w:val="24"/>
              <w:szCs w:val="24"/>
              <w:lang w:bidi="ar-EG"/>
            </w:rPr>
            <w:fldChar w:fldCharType="end"/>
          </w:r>
        </w:sdtContent>
      </w:sdt>
      <w:r w:rsidRPr="002D0908">
        <w:rPr>
          <w:rFonts w:asciiTheme="majorBidi" w:hAnsiTheme="majorBidi" w:cstheme="majorBidi"/>
          <w:sz w:val="24"/>
          <w:szCs w:val="24"/>
          <w:lang w:bidi="ar-EG"/>
        </w:rPr>
        <w:t>.</w:t>
      </w:r>
      <w:r w:rsidR="00C9093E" w:rsidRPr="002D0908">
        <w:rPr>
          <w:rFonts w:asciiTheme="majorBidi" w:hAnsiTheme="majorBidi" w:cstheme="majorBidi"/>
          <w:sz w:val="24"/>
          <w:szCs w:val="24"/>
          <w:lang w:bidi="ar-EG"/>
        </w:rPr>
        <w:t xml:space="preserve"> </w:t>
      </w:r>
      <w:r w:rsidRPr="002D0908">
        <w:rPr>
          <w:rFonts w:asciiTheme="majorBidi" w:hAnsiTheme="majorBidi" w:cstheme="majorBidi"/>
          <w:sz w:val="24"/>
          <w:szCs w:val="24"/>
          <w:lang w:bidi="ar-EG"/>
        </w:rPr>
        <w:t>On the other hand, a non-rigid connector was stated to provide the ability to separate the splinted units; thus compensating for the different degrees of mobility between the implant and the tooth</w:t>
      </w:r>
      <w:r w:rsidR="009538C1" w:rsidRPr="002D0908">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392634895"/>
          <w:citation/>
        </w:sdtPr>
        <w:sdtContent>
          <w:r w:rsidR="001919A5" w:rsidRPr="002D0908">
            <w:rPr>
              <w:rFonts w:asciiTheme="majorBidi" w:hAnsiTheme="majorBidi" w:cstheme="majorBidi"/>
              <w:sz w:val="24"/>
              <w:szCs w:val="24"/>
              <w:lang w:bidi="ar-EG"/>
            </w:rPr>
            <w:fldChar w:fldCharType="begin"/>
          </w:r>
          <w:r w:rsidR="009538C1" w:rsidRPr="002D0908">
            <w:rPr>
              <w:rFonts w:asciiTheme="majorBidi" w:hAnsiTheme="majorBidi" w:cstheme="majorBidi"/>
              <w:sz w:val="24"/>
              <w:szCs w:val="24"/>
              <w:lang w:bidi="ar-EG"/>
            </w:rPr>
            <w:instrText xml:space="preserve"> CITATION Rus99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(Russell D, 1999)</w:t>
          </w:r>
          <w:r w:rsidR="001919A5" w:rsidRPr="002D0908">
            <w:rPr>
              <w:rFonts w:asciiTheme="majorBidi" w:hAnsiTheme="majorBidi" w:cstheme="majorBidi"/>
              <w:sz w:val="24"/>
              <w:szCs w:val="24"/>
              <w:lang w:bidi="ar-EG"/>
            </w:rPr>
            <w:fldChar w:fldCharType="end"/>
          </w:r>
        </w:sdtContent>
      </w:sdt>
      <w:r w:rsidR="009538C1" w:rsidRPr="002D0908">
        <w:rPr>
          <w:rFonts w:asciiTheme="majorBidi" w:hAnsiTheme="majorBidi" w:cstheme="majorBidi"/>
          <w:sz w:val="24"/>
          <w:szCs w:val="24"/>
          <w:lang w:bidi="ar-EG"/>
        </w:rPr>
        <w:t xml:space="preserve"> and </w:t>
      </w:r>
      <w:sdt>
        <w:sdtPr>
          <w:rPr>
            <w:rFonts w:asciiTheme="majorBidi" w:hAnsiTheme="majorBidi" w:cstheme="majorBidi"/>
            <w:sz w:val="24"/>
            <w:szCs w:val="24"/>
            <w:lang w:bidi="ar-EG"/>
          </w:rPr>
          <w:id w:val="392634896"/>
          <w:citation/>
        </w:sdtPr>
        <w:sdtContent>
          <w:r w:rsidR="001919A5" w:rsidRPr="002D0908">
            <w:rPr>
              <w:rFonts w:asciiTheme="majorBidi" w:hAnsiTheme="majorBidi" w:cstheme="majorBidi"/>
              <w:sz w:val="24"/>
              <w:szCs w:val="24"/>
              <w:lang w:bidi="ar-EG"/>
            </w:rPr>
            <w:fldChar w:fldCharType="begin"/>
          </w:r>
          <w:r w:rsidR="009538C1" w:rsidRPr="002D0908">
            <w:rPr>
              <w:rFonts w:asciiTheme="majorBidi" w:hAnsiTheme="majorBidi" w:cstheme="majorBidi"/>
              <w:sz w:val="24"/>
              <w:szCs w:val="24"/>
              <w:lang w:bidi="ar-EG"/>
            </w:rPr>
            <w:instrText xml:space="preserve"> CITATION Bec00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(Becker C, 2000)</w:t>
          </w:r>
          <w:r w:rsidR="001919A5" w:rsidRPr="002D0908">
            <w:rPr>
              <w:rFonts w:asciiTheme="majorBidi" w:hAnsiTheme="majorBidi" w:cstheme="majorBidi"/>
              <w:sz w:val="24"/>
              <w:szCs w:val="24"/>
              <w:lang w:bidi="ar-EG"/>
            </w:rPr>
            <w:fldChar w:fldCharType="end"/>
          </w:r>
        </w:sdtContent>
      </w:sdt>
      <w:r w:rsidRPr="002D0908">
        <w:rPr>
          <w:rFonts w:asciiTheme="majorBidi" w:hAnsiTheme="majorBidi" w:cstheme="majorBidi"/>
          <w:sz w:val="24"/>
          <w:szCs w:val="24"/>
          <w:lang w:bidi="ar-EG"/>
        </w:rPr>
        <w:t>.</w:t>
      </w:r>
    </w:p>
    <w:p w:rsidR="00BF2D83" w:rsidRPr="002D0908" w:rsidRDefault="00BF2D83" w:rsidP="00D87ACB">
      <w:pPr>
        <w:bidi w:val="0"/>
        <w:spacing w:after="0" w:line="360" w:lineRule="auto"/>
        <w:jc w:val="both"/>
        <w:rPr>
          <w:rFonts w:asciiTheme="majorBidi" w:hAnsiTheme="majorBidi" w:cstheme="majorBidi"/>
          <w:sz w:val="24"/>
          <w:szCs w:val="24"/>
          <w:rtl/>
          <w:lang w:bidi="ar-EG"/>
        </w:rPr>
      </w:pPr>
      <w:r w:rsidRPr="002D0908">
        <w:rPr>
          <w:rFonts w:asciiTheme="majorBidi" w:hAnsiTheme="majorBidi" w:cstheme="majorBidi"/>
          <w:sz w:val="24"/>
          <w:szCs w:val="24"/>
        </w:rPr>
        <w:t xml:space="preserve"> A strong correlation between bone density and alveolar bone level around implants and their stability and rate of success was approved</w:t>
      </w:r>
      <w:r w:rsidR="007E489C" w:rsidRPr="002D0908">
        <w:rPr>
          <w:rFonts w:asciiTheme="majorBidi" w:hAnsiTheme="majorBidi" w:cstheme="majorBidi"/>
          <w:sz w:val="24"/>
          <w:szCs w:val="24"/>
        </w:rPr>
        <w:t xml:space="preserve"> </w:t>
      </w:r>
      <w:sdt>
        <w:sdtPr>
          <w:rPr>
            <w:rFonts w:asciiTheme="majorBidi" w:hAnsiTheme="majorBidi" w:cstheme="majorBidi"/>
            <w:sz w:val="24"/>
            <w:szCs w:val="24"/>
          </w:rPr>
          <w:id w:val="392635308"/>
          <w:citation/>
        </w:sdtPr>
        <w:sdtContent>
          <w:r w:rsidR="001919A5" w:rsidRPr="002D0908">
            <w:rPr>
              <w:rFonts w:asciiTheme="majorBidi" w:hAnsiTheme="majorBidi" w:cstheme="majorBidi"/>
              <w:sz w:val="24"/>
              <w:szCs w:val="24"/>
            </w:rPr>
            <w:fldChar w:fldCharType="begin"/>
          </w:r>
          <w:r w:rsidR="007E489C" w:rsidRPr="002D0908">
            <w:rPr>
              <w:rFonts w:asciiTheme="majorBidi" w:hAnsiTheme="majorBidi" w:cstheme="majorBidi"/>
              <w:sz w:val="24"/>
              <w:szCs w:val="24"/>
            </w:rPr>
            <w:instrText xml:space="preserve"> CITATION Kei11 \l 1033 </w:instrText>
          </w:r>
          <w:r w:rsidR="001919A5" w:rsidRPr="002D0908">
            <w:rPr>
              <w:rFonts w:asciiTheme="majorBidi" w:hAnsiTheme="majorBidi" w:cstheme="majorBidi"/>
              <w:sz w:val="24"/>
              <w:szCs w:val="24"/>
            </w:rPr>
            <w:fldChar w:fldCharType="separate"/>
          </w:r>
          <w:r w:rsidR="00972DFB" w:rsidRPr="002D0908">
            <w:rPr>
              <w:rFonts w:asciiTheme="majorBidi" w:hAnsiTheme="majorBidi" w:cstheme="majorBidi"/>
              <w:noProof/>
              <w:sz w:val="24"/>
              <w:szCs w:val="24"/>
            </w:rPr>
            <w:t>(Kei I, 2011)</w:t>
          </w:r>
          <w:r w:rsidR="001919A5" w:rsidRPr="002D0908">
            <w:rPr>
              <w:rFonts w:asciiTheme="majorBidi" w:hAnsiTheme="majorBidi" w:cstheme="majorBidi"/>
              <w:sz w:val="24"/>
              <w:szCs w:val="24"/>
            </w:rPr>
            <w:fldChar w:fldCharType="end"/>
          </w:r>
        </w:sdtContent>
      </w:sdt>
      <w:r w:rsidRPr="002D0908">
        <w:rPr>
          <w:rFonts w:asciiTheme="majorBidi" w:hAnsiTheme="majorBidi" w:cstheme="majorBidi"/>
          <w:sz w:val="24"/>
          <w:szCs w:val="24"/>
        </w:rPr>
        <w:t xml:space="preserve">. While radiographic </w:t>
      </w:r>
      <w:r w:rsidRPr="002D0908">
        <w:rPr>
          <w:rFonts w:asciiTheme="majorBidi" w:hAnsiTheme="majorBidi" w:cstheme="majorBidi"/>
          <w:color w:val="000000"/>
          <w:sz w:val="24"/>
          <w:szCs w:val="24"/>
        </w:rPr>
        <w:t>two dimensional imaging modalities suffer from superimpositions, projection geometry and completely lack the third dimension of bone depth such that diagnostic value is inaccurate and unreliable</w:t>
      </w:r>
      <w:r w:rsidR="00132E43" w:rsidRPr="002D0908">
        <w:rPr>
          <w:rFonts w:asciiTheme="majorBidi" w:hAnsiTheme="majorBidi" w:cstheme="majorBidi"/>
          <w:color w:val="000000"/>
          <w:sz w:val="24"/>
          <w:szCs w:val="24"/>
        </w:rPr>
        <w:t xml:space="preserve"> </w:t>
      </w:r>
      <w:sdt>
        <w:sdtPr>
          <w:rPr>
            <w:rFonts w:asciiTheme="majorBidi" w:hAnsiTheme="majorBidi" w:cstheme="majorBidi"/>
            <w:color w:val="000000"/>
            <w:sz w:val="24"/>
            <w:szCs w:val="24"/>
          </w:rPr>
          <w:id w:val="392635311"/>
          <w:citation/>
        </w:sdtPr>
        <w:sdtContent>
          <w:r w:rsidR="001919A5" w:rsidRPr="002D0908">
            <w:rPr>
              <w:rFonts w:asciiTheme="majorBidi" w:hAnsiTheme="majorBidi" w:cstheme="majorBidi"/>
              <w:color w:val="000000"/>
              <w:sz w:val="24"/>
              <w:szCs w:val="24"/>
            </w:rPr>
            <w:fldChar w:fldCharType="begin"/>
          </w:r>
          <w:r w:rsidR="00132E43" w:rsidRPr="002D0908">
            <w:rPr>
              <w:rFonts w:asciiTheme="majorBidi" w:hAnsiTheme="majorBidi" w:cstheme="majorBidi"/>
              <w:color w:val="000000"/>
              <w:sz w:val="24"/>
              <w:szCs w:val="24"/>
            </w:rPr>
            <w:instrText xml:space="preserve"> CITATION Ang \l 1033  </w:instrText>
          </w:r>
          <w:r w:rsidR="001919A5" w:rsidRPr="002D0908">
            <w:rPr>
              <w:rFonts w:asciiTheme="majorBidi" w:hAnsiTheme="majorBidi" w:cstheme="majorBidi"/>
              <w:color w:val="000000"/>
              <w:sz w:val="24"/>
              <w:szCs w:val="24"/>
            </w:rPr>
            <w:fldChar w:fldCharType="separate"/>
          </w:r>
          <w:r w:rsidR="00972DFB" w:rsidRPr="002D0908">
            <w:rPr>
              <w:rFonts w:asciiTheme="majorBidi" w:hAnsiTheme="majorBidi" w:cstheme="majorBidi"/>
              <w:noProof/>
              <w:color w:val="000000"/>
              <w:sz w:val="24"/>
              <w:szCs w:val="24"/>
            </w:rPr>
            <w:t>(Angelopoulos C, 2008 )</w:t>
          </w:r>
          <w:r w:rsidR="001919A5" w:rsidRPr="002D0908">
            <w:rPr>
              <w:rFonts w:asciiTheme="majorBidi" w:hAnsiTheme="majorBidi" w:cstheme="majorBidi"/>
              <w:color w:val="000000"/>
              <w:sz w:val="24"/>
              <w:szCs w:val="24"/>
            </w:rPr>
            <w:fldChar w:fldCharType="end"/>
          </w:r>
        </w:sdtContent>
      </w:sdt>
      <w:r w:rsidRPr="002D0908">
        <w:rPr>
          <w:rFonts w:asciiTheme="majorBidi" w:hAnsiTheme="majorBidi" w:cstheme="majorBidi"/>
          <w:sz w:val="24"/>
          <w:szCs w:val="24"/>
          <w:lang w:bidi="ar-EG"/>
        </w:rPr>
        <w:t xml:space="preserve">, </w:t>
      </w:r>
      <w:r w:rsidRPr="002D0908">
        <w:rPr>
          <w:rFonts w:asciiTheme="majorBidi" w:hAnsiTheme="majorBidi" w:cstheme="majorBidi"/>
          <w:sz w:val="24"/>
          <w:szCs w:val="24"/>
        </w:rPr>
        <w:t>CBCT was approved to be a reliable diagnostic tool for bone density evaluation around implants using the HU</w:t>
      </w:r>
      <w:r w:rsidR="00377879" w:rsidRPr="002D0908">
        <w:rPr>
          <w:rFonts w:asciiTheme="majorBidi" w:hAnsiTheme="majorBidi" w:cstheme="majorBidi"/>
          <w:sz w:val="24"/>
          <w:szCs w:val="24"/>
        </w:rPr>
        <w:t xml:space="preserve"> </w:t>
      </w:r>
      <w:sdt>
        <w:sdtPr>
          <w:rPr>
            <w:rFonts w:asciiTheme="majorBidi" w:hAnsiTheme="majorBidi" w:cstheme="majorBidi"/>
            <w:sz w:val="24"/>
            <w:szCs w:val="24"/>
          </w:rPr>
          <w:id w:val="392635921"/>
          <w:citation/>
        </w:sdtPr>
        <w:sdtContent>
          <w:r w:rsidR="001919A5" w:rsidRPr="002D0908">
            <w:rPr>
              <w:rFonts w:asciiTheme="majorBidi" w:hAnsiTheme="majorBidi" w:cstheme="majorBidi"/>
              <w:sz w:val="24"/>
              <w:szCs w:val="24"/>
            </w:rPr>
            <w:fldChar w:fldCharType="begin"/>
          </w:r>
          <w:r w:rsidR="00377879" w:rsidRPr="002D0908">
            <w:rPr>
              <w:rFonts w:asciiTheme="majorBidi" w:hAnsiTheme="majorBidi" w:cstheme="majorBidi"/>
              <w:sz w:val="24"/>
              <w:szCs w:val="24"/>
            </w:rPr>
            <w:instrText xml:space="preserve"> CITATION Rod11 \l 1033 </w:instrText>
          </w:r>
          <w:r w:rsidR="001919A5" w:rsidRPr="002D0908">
            <w:rPr>
              <w:rFonts w:asciiTheme="majorBidi" w:hAnsiTheme="majorBidi" w:cstheme="majorBidi"/>
              <w:sz w:val="24"/>
              <w:szCs w:val="24"/>
            </w:rPr>
            <w:fldChar w:fldCharType="separate"/>
          </w:r>
          <w:r w:rsidR="00972DFB" w:rsidRPr="002D0908">
            <w:rPr>
              <w:rFonts w:asciiTheme="majorBidi" w:hAnsiTheme="majorBidi" w:cstheme="majorBidi"/>
              <w:noProof/>
              <w:sz w:val="24"/>
              <w:szCs w:val="24"/>
            </w:rPr>
            <w:t>(Rodrigues R, 2011)</w:t>
          </w:r>
          <w:r w:rsidR="001919A5" w:rsidRPr="002D0908">
            <w:rPr>
              <w:rFonts w:asciiTheme="majorBidi" w:hAnsiTheme="majorBidi" w:cstheme="majorBidi"/>
              <w:sz w:val="24"/>
              <w:szCs w:val="24"/>
            </w:rPr>
            <w:fldChar w:fldCharType="end"/>
          </w:r>
        </w:sdtContent>
      </w:sdt>
      <w:r w:rsidRPr="002D0908">
        <w:rPr>
          <w:rFonts w:asciiTheme="majorBidi" w:hAnsiTheme="majorBidi" w:cstheme="majorBidi"/>
          <w:sz w:val="24"/>
          <w:szCs w:val="24"/>
        </w:rPr>
        <w:t>, especially since the reported radiation dose required is minimal</w:t>
      </w:r>
      <w:r w:rsidR="00377879" w:rsidRPr="002D0908">
        <w:rPr>
          <w:rFonts w:asciiTheme="majorBidi" w:hAnsiTheme="majorBidi" w:cstheme="majorBidi"/>
          <w:sz w:val="24"/>
          <w:szCs w:val="24"/>
        </w:rPr>
        <w:t xml:space="preserve"> </w:t>
      </w:r>
      <w:sdt>
        <w:sdtPr>
          <w:rPr>
            <w:rFonts w:asciiTheme="majorBidi" w:hAnsiTheme="majorBidi" w:cstheme="majorBidi"/>
            <w:sz w:val="24"/>
            <w:szCs w:val="24"/>
          </w:rPr>
          <w:id w:val="392636258"/>
          <w:citation/>
        </w:sdtPr>
        <w:sdtContent>
          <w:r w:rsidR="001919A5" w:rsidRPr="002D0908">
            <w:rPr>
              <w:rFonts w:asciiTheme="majorBidi" w:hAnsiTheme="majorBidi" w:cstheme="majorBidi"/>
              <w:sz w:val="24"/>
              <w:szCs w:val="24"/>
            </w:rPr>
            <w:fldChar w:fldCharType="begin"/>
          </w:r>
          <w:r w:rsidR="00377879" w:rsidRPr="002D0908">
            <w:rPr>
              <w:rFonts w:asciiTheme="majorBidi" w:hAnsiTheme="majorBidi" w:cstheme="majorBidi"/>
              <w:sz w:val="24"/>
              <w:szCs w:val="24"/>
            </w:rPr>
            <w:instrText xml:space="preserve"> CITATION Ara05 \l 1033 </w:instrText>
          </w:r>
          <w:r w:rsidR="001919A5" w:rsidRPr="002D0908">
            <w:rPr>
              <w:rFonts w:asciiTheme="majorBidi" w:hAnsiTheme="majorBidi" w:cstheme="majorBidi"/>
              <w:sz w:val="24"/>
              <w:szCs w:val="24"/>
            </w:rPr>
            <w:fldChar w:fldCharType="separate"/>
          </w:r>
          <w:r w:rsidR="00972DFB" w:rsidRPr="002D0908">
            <w:rPr>
              <w:rFonts w:asciiTheme="majorBidi" w:hAnsiTheme="majorBidi" w:cstheme="majorBidi"/>
              <w:noProof/>
              <w:sz w:val="24"/>
              <w:szCs w:val="24"/>
            </w:rPr>
            <w:t>(Aranyarachkul PCaruso J, 2005)</w:t>
          </w:r>
          <w:r w:rsidR="001919A5" w:rsidRPr="002D0908">
            <w:rPr>
              <w:rFonts w:asciiTheme="majorBidi" w:hAnsiTheme="majorBidi" w:cstheme="majorBidi"/>
              <w:sz w:val="24"/>
              <w:szCs w:val="24"/>
            </w:rPr>
            <w:fldChar w:fldCharType="end"/>
          </w:r>
        </w:sdtContent>
      </w:sdt>
      <w:r w:rsidRPr="002D0908">
        <w:rPr>
          <w:rFonts w:asciiTheme="majorBidi" w:hAnsiTheme="majorBidi" w:cstheme="majorBidi"/>
          <w:sz w:val="24"/>
          <w:szCs w:val="24"/>
          <w:lang w:bidi="ar-EG"/>
        </w:rPr>
        <w:t xml:space="preserve">. </w:t>
      </w:r>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So the purpose of this study was to compare clinical outcomes of connecting teeth to implants either by rigid or non-rigid connection, to support an implant-tooth supported prosthesis, using cone beam computed tomography scans. The hypothesis of the present study was that implant-tooth borne prosthesis constructed with non-rigid connection will show better results compared with rigid connection.</w:t>
      </w:r>
    </w:p>
    <w:p w:rsidR="00BF2D83" w:rsidRPr="002D0908" w:rsidRDefault="00BF2D83" w:rsidP="00D87ACB">
      <w:pPr>
        <w:bidi w:val="0"/>
        <w:spacing w:after="0" w:line="360" w:lineRule="auto"/>
        <w:jc w:val="both"/>
        <w:rPr>
          <w:rFonts w:asciiTheme="majorBidi" w:hAnsiTheme="majorBidi" w:cstheme="majorBidi"/>
          <w:b/>
          <w:bCs/>
          <w:sz w:val="24"/>
          <w:szCs w:val="24"/>
          <w:lang w:bidi="ar-EG"/>
        </w:rPr>
      </w:pPr>
      <w:r w:rsidRPr="002D0908">
        <w:rPr>
          <w:rFonts w:asciiTheme="majorBidi" w:hAnsiTheme="majorBidi" w:cstheme="majorBidi"/>
          <w:b/>
          <w:bCs/>
          <w:sz w:val="24"/>
          <w:szCs w:val="24"/>
          <w:lang w:bidi="ar-EG"/>
        </w:rPr>
        <w:t>Materials and methods</w:t>
      </w:r>
    </w:p>
    <w:p w:rsidR="00BF2D83" w:rsidRPr="002D0908" w:rsidRDefault="00246867" w:rsidP="00D87ACB">
      <w:pPr>
        <w:autoSpaceDE w:val="0"/>
        <w:autoSpaceDN w:val="0"/>
        <w:bidi w:val="0"/>
        <w:adjustRightInd w:val="0"/>
        <w:spacing w:after="0" w:line="360" w:lineRule="auto"/>
        <w:jc w:val="both"/>
        <w:rPr>
          <w:rFonts w:asciiTheme="majorBidi" w:hAnsiTheme="majorBidi" w:cstheme="majorBidi"/>
          <w:sz w:val="24"/>
          <w:szCs w:val="24"/>
        </w:rPr>
      </w:pPr>
      <w:r w:rsidRPr="002D0908">
        <w:rPr>
          <w:rFonts w:asciiTheme="majorBidi" w:hAnsiTheme="majorBidi" w:cstheme="majorBidi"/>
          <w:sz w:val="24"/>
          <w:szCs w:val="24"/>
          <w:lang w:bidi="ar-EG"/>
        </w:rPr>
        <w:t xml:space="preserve">The present study included </w:t>
      </w:r>
      <w:r w:rsidR="00377879" w:rsidRPr="002D0908">
        <w:rPr>
          <w:rFonts w:asciiTheme="majorBidi" w:hAnsiTheme="majorBidi" w:cstheme="majorBidi"/>
          <w:sz w:val="24"/>
          <w:szCs w:val="24"/>
          <w:lang w:bidi="ar-EG"/>
        </w:rPr>
        <w:t>ten patients</w:t>
      </w:r>
      <w:r w:rsidR="00BF2D83" w:rsidRPr="002D0908">
        <w:rPr>
          <w:rFonts w:asciiTheme="majorBidi" w:hAnsiTheme="majorBidi" w:cstheme="majorBidi"/>
          <w:sz w:val="24"/>
          <w:szCs w:val="24"/>
          <w:lang w:bidi="ar-EG"/>
        </w:rPr>
        <w:t xml:space="preserve"> with two missing </w:t>
      </w:r>
      <w:proofErr w:type="spellStart"/>
      <w:r w:rsidR="00BF2D83" w:rsidRPr="002D0908">
        <w:rPr>
          <w:rFonts w:asciiTheme="majorBidi" w:hAnsiTheme="majorBidi" w:cstheme="majorBidi"/>
          <w:sz w:val="24"/>
          <w:szCs w:val="24"/>
          <w:lang w:bidi="ar-EG"/>
        </w:rPr>
        <w:t>mand</w:t>
      </w:r>
      <w:r w:rsidR="00244682" w:rsidRPr="002D0908">
        <w:rPr>
          <w:rFonts w:asciiTheme="majorBidi" w:hAnsiTheme="majorBidi" w:cstheme="majorBidi"/>
          <w:sz w:val="24"/>
          <w:szCs w:val="24"/>
          <w:lang w:bidi="ar-EG"/>
        </w:rPr>
        <w:t>ibular</w:t>
      </w:r>
      <w:proofErr w:type="spellEnd"/>
      <w:r w:rsidR="00244682" w:rsidRPr="002D0908">
        <w:rPr>
          <w:rFonts w:asciiTheme="majorBidi" w:hAnsiTheme="majorBidi" w:cstheme="majorBidi"/>
          <w:sz w:val="24"/>
          <w:szCs w:val="24"/>
          <w:lang w:bidi="ar-EG"/>
        </w:rPr>
        <w:t xml:space="preserve"> molars, selected </w:t>
      </w:r>
      <w:r w:rsidR="00377879" w:rsidRPr="002D0908">
        <w:rPr>
          <w:rFonts w:asciiTheme="majorBidi" w:hAnsiTheme="majorBidi" w:cstheme="majorBidi"/>
          <w:sz w:val="24"/>
          <w:szCs w:val="24"/>
          <w:lang w:bidi="ar-EG"/>
        </w:rPr>
        <w:t xml:space="preserve">from </w:t>
      </w:r>
      <w:r w:rsidRPr="002D0908">
        <w:rPr>
          <w:rFonts w:asciiTheme="majorBidi" w:hAnsiTheme="majorBidi" w:cstheme="majorBidi"/>
          <w:sz w:val="24"/>
          <w:szCs w:val="24"/>
          <w:lang w:bidi="ar-EG"/>
        </w:rPr>
        <w:t>out-patient clinic</w:t>
      </w:r>
      <w:r w:rsidR="00BF2D83" w:rsidRPr="002D0908">
        <w:rPr>
          <w:rFonts w:asciiTheme="majorBidi" w:hAnsiTheme="majorBidi" w:cstheme="majorBidi"/>
          <w:sz w:val="24"/>
          <w:szCs w:val="24"/>
          <w:lang w:bidi="ar-EG"/>
        </w:rPr>
        <w:t xml:space="preserve">. All patients were free from any systemic diseases and any local pathologic lesions that may contraindicate the surgery. Patients had good oral hygiene and an opposing natural dentition. </w:t>
      </w:r>
      <w:r w:rsidR="00BF2D83" w:rsidRPr="002D0908">
        <w:rPr>
          <w:rFonts w:asciiTheme="majorBidi" w:hAnsiTheme="majorBidi" w:cstheme="majorBidi"/>
          <w:sz w:val="24"/>
          <w:szCs w:val="24"/>
        </w:rPr>
        <w:t>Clinical and digital radiographic preoperative data were gathered and the available jawbone quantity and bone quality were registered.</w:t>
      </w:r>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 xml:space="preserve">All patients received an implant distally; to support an implant-tooth supported FPD, using a natural tooth as a </w:t>
      </w:r>
      <w:proofErr w:type="spellStart"/>
      <w:r w:rsidRPr="002D0908">
        <w:rPr>
          <w:rFonts w:asciiTheme="majorBidi" w:hAnsiTheme="majorBidi" w:cstheme="majorBidi"/>
          <w:sz w:val="24"/>
          <w:szCs w:val="24"/>
          <w:lang w:bidi="ar-EG"/>
        </w:rPr>
        <w:t>mesial</w:t>
      </w:r>
      <w:proofErr w:type="spellEnd"/>
      <w:r w:rsidRPr="002D0908">
        <w:rPr>
          <w:rFonts w:asciiTheme="majorBidi" w:hAnsiTheme="majorBidi" w:cstheme="majorBidi"/>
          <w:sz w:val="24"/>
          <w:szCs w:val="24"/>
          <w:lang w:bidi="ar-EG"/>
        </w:rPr>
        <w:t xml:space="preserve"> abutment and the implant as a distal abutment.</w:t>
      </w:r>
    </w:p>
    <w:p w:rsidR="00BF2D83" w:rsidRPr="002D0908" w:rsidRDefault="00246867"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lastRenderedPageBreak/>
        <w:t>A total of 10</w:t>
      </w:r>
      <w:r w:rsidR="00BF2D83" w:rsidRPr="002D0908">
        <w:rPr>
          <w:rFonts w:asciiTheme="majorBidi" w:hAnsiTheme="majorBidi" w:cstheme="majorBidi"/>
          <w:sz w:val="24"/>
          <w:szCs w:val="24"/>
          <w:lang w:bidi="ar-EG"/>
        </w:rPr>
        <w:t xml:space="preserve"> titanium cylindrical implants (</w:t>
      </w:r>
      <w:proofErr w:type="spellStart"/>
      <w:r w:rsidR="00BF2D83" w:rsidRPr="002D0908">
        <w:rPr>
          <w:rFonts w:asciiTheme="majorBidi" w:hAnsiTheme="majorBidi" w:cstheme="majorBidi"/>
          <w:sz w:val="24"/>
          <w:szCs w:val="24"/>
          <w:lang w:bidi="ar-EG"/>
        </w:rPr>
        <w:t>Pitteasy</w:t>
      </w:r>
      <w:proofErr w:type="spellEnd"/>
      <w:r w:rsidR="00BF2D83" w:rsidRPr="002D0908">
        <w:rPr>
          <w:rFonts w:asciiTheme="majorBidi" w:hAnsiTheme="majorBidi" w:cstheme="majorBidi"/>
          <w:sz w:val="24"/>
          <w:szCs w:val="24"/>
          <w:lang w:bidi="ar-EG"/>
        </w:rPr>
        <w:t xml:space="preserve">, Sybron implants, </w:t>
      </w:r>
      <w:proofErr w:type="spellStart"/>
      <w:r w:rsidR="00BF2D83" w:rsidRPr="002D0908">
        <w:rPr>
          <w:rFonts w:asciiTheme="majorBidi" w:hAnsiTheme="majorBidi" w:cstheme="majorBidi"/>
          <w:sz w:val="24"/>
          <w:szCs w:val="24"/>
          <w:lang w:bidi="ar-EG"/>
        </w:rPr>
        <w:t>Oraltronic</w:t>
      </w:r>
      <w:proofErr w:type="spellEnd"/>
      <w:r w:rsidR="00BF2D83" w:rsidRPr="002D0908">
        <w:rPr>
          <w:rFonts w:asciiTheme="majorBidi" w:hAnsiTheme="majorBidi" w:cstheme="majorBidi"/>
          <w:sz w:val="24"/>
          <w:szCs w:val="24"/>
          <w:lang w:bidi="ar-EG"/>
        </w:rPr>
        <w:t>-Germany), were inserted in the position of the distal abutments. Implants with 3.75-4 mm wide and 12-14 mm length, were inserted following a conventional 2-stage surgical technique.</w:t>
      </w:r>
    </w:p>
    <w:p w:rsidR="00BF2D83" w:rsidRPr="002D0908" w:rsidRDefault="00246867"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 xml:space="preserve">Surgical stents </w:t>
      </w:r>
      <w:r w:rsidR="002A15B9" w:rsidRPr="002D0908">
        <w:rPr>
          <w:rFonts w:asciiTheme="majorBidi" w:hAnsiTheme="majorBidi" w:cstheme="majorBidi"/>
          <w:sz w:val="24"/>
          <w:szCs w:val="24"/>
          <w:lang w:bidi="ar-EG"/>
        </w:rPr>
        <w:t>were used</w:t>
      </w:r>
      <w:r w:rsidR="00BF2D83" w:rsidRPr="002D0908">
        <w:rPr>
          <w:rFonts w:asciiTheme="majorBidi" w:hAnsiTheme="majorBidi" w:cstheme="majorBidi"/>
          <w:sz w:val="24"/>
          <w:szCs w:val="24"/>
          <w:lang w:bidi="ar-EG"/>
        </w:rPr>
        <w:t xml:space="preserve"> to guide implant </w:t>
      </w:r>
      <w:r w:rsidRPr="002D0908">
        <w:rPr>
          <w:rFonts w:asciiTheme="majorBidi" w:hAnsiTheme="majorBidi" w:cstheme="majorBidi"/>
          <w:sz w:val="24"/>
          <w:szCs w:val="24"/>
          <w:lang w:bidi="ar-EG"/>
        </w:rPr>
        <w:t xml:space="preserve">s' </w:t>
      </w:r>
      <w:r w:rsidR="00BF2D83" w:rsidRPr="002D0908">
        <w:rPr>
          <w:rFonts w:asciiTheme="majorBidi" w:hAnsiTheme="majorBidi" w:cstheme="majorBidi"/>
          <w:sz w:val="24"/>
          <w:szCs w:val="24"/>
          <w:lang w:bidi="ar-EG"/>
        </w:rPr>
        <w:t>insertion, then implants were inserted according to manufacturer instructions, followed by cover screws insertion and site suturing.</w:t>
      </w:r>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An integration/healing phase of three months was provided. Then implants were exposed and gingival formers were inserted for two weeks. Natural premolar teeth abutments were prepared to receive a full veneered retainer, then impressions were taken using closed tray impression technique.  Then 3-units implant-tooth supported FPDs were constructed using Ni</w:t>
      </w:r>
      <w:r w:rsidR="007E489C" w:rsidRPr="002D0908">
        <w:rPr>
          <w:rFonts w:asciiTheme="majorBidi" w:hAnsiTheme="majorBidi" w:cstheme="majorBidi"/>
          <w:sz w:val="24"/>
          <w:szCs w:val="24"/>
          <w:lang w:bidi="ar-EG"/>
        </w:rPr>
        <w:t xml:space="preserve"> </w:t>
      </w:r>
      <w:r w:rsidRPr="002D0908">
        <w:rPr>
          <w:rFonts w:asciiTheme="majorBidi" w:hAnsiTheme="majorBidi" w:cstheme="majorBidi"/>
          <w:sz w:val="24"/>
          <w:szCs w:val="24"/>
          <w:lang w:bidi="ar-EG"/>
        </w:rPr>
        <w:t xml:space="preserve">Cr alloy and fully porcelain veneered restorations. Two layers of die spacer coat were applied on the implants and teeth abutments to insure a passive framework fit.  </w:t>
      </w:r>
    </w:p>
    <w:p w:rsidR="00BF2D83" w:rsidRPr="002D0908" w:rsidRDefault="00246867"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Half of the patients (n=5</w:t>
      </w:r>
      <w:r w:rsidR="00BF2D83" w:rsidRPr="002D0908">
        <w:rPr>
          <w:rFonts w:asciiTheme="majorBidi" w:hAnsiTheme="majorBidi" w:cstheme="majorBidi"/>
          <w:sz w:val="24"/>
          <w:szCs w:val="24"/>
          <w:lang w:bidi="ar-EG"/>
        </w:rPr>
        <w:t xml:space="preserve">), received 3 units FPD with rigid connection, supported by natural tooth abutment </w:t>
      </w:r>
      <w:proofErr w:type="spellStart"/>
      <w:r w:rsidR="00BF2D83" w:rsidRPr="002D0908">
        <w:rPr>
          <w:rFonts w:asciiTheme="majorBidi" w:hAnsiTheme="majorBidi" w:cstheme="majorBidi"/>
          <w:sz w:val="24"/>
          <w:szCs w:val="24"/>
          <w:lang w:bidi="ar-EG"/>
        </w:rPr>
        <w:t>mesially</w:t>
      </w:r>
      <w:proofErr w:type="spellEnd"/>
      <w:r w:rsidR="00BF2D83" w:rsidRPr="002D0908">
        <w:rPr>
          <w:rFonts w:asciiTheme="majorBidi" w:hAnsiTheme="majorBidi" w:cstheme="majorBidi"/>
          <w:sz w:val="24"/>
          <w:szCs w:val="24"/>
          <w:lang w:bidi="ar-EG"/>
        </w:rPr>
        <w:t xml:space="preserve"> and supported by an implant dist</w:t>
      </w:r>
      <w:r w:rsidRPr="002D0908">
        <w:rPr>
          <w:rFonts w:asciiTheme="majorBidi" w:hAnsiTheme="majorBidi" w:cstheme="majorBidi"/>
          <w:sz w:val="24"/>
          <w:szCs w:val="24"/>
          <w:lang w:bidi="ar-EG"/>
        </w:rPr>
        <w:t>ally. While, the other half (n=5</w:t>
      </w:r>
      <w:r w:rsidR="00BF2D83" w:rsidRPr="002D0908">
        <w:rPr>
          <w:rFonts w:asciiTheme="majorBidi" w:hAnsiTheme="majorBidi" w:cstheme="majorBidi"/>
          <w:sz w:val="24"/>
          <w:szCs w:val="24"/>
          <w:lang w:bidi="ar-EG"/>
        </w:rPr>
        <w:t xml:space="preserve">), received 3 units FPD with non-rigid connector between the </w:t>
      </w:r>
      <w:proofErr w:type="spellStart"/>
      <w:r w:rsidR="00BF2D83" w:rsidRPr="002D0908">
        <w:rPr>
          <w:rFonts w:asciiTheme="majorBidi" w:hAnsiTheme="majorBidi" w:cstheme="majorBidi"/>
          <w:sz w:val="24"/>
          <w:szCs w:val="24"/>
          <w:lang w:bidi="ar-EG"/>
        </w:rPr>
        <w:t>mesial</w:t>
      </w:r>
      <w:proofErr w:type="spellEnd"/>
      <w:r w:rsidR="00BF2D83" w:rsidRPr="002D0908">
        <w:rPr>
          <w:rFonts w:asciiTheme="majorBidi" w:hAnsiTheme="majorBidi" w:cstheme="majorBidi"/>
          <w:sz w:val="24"/>
          <w:szCs w:val="24"/>
          <w:lang w:bidi="ar-EG"/>
        </w:rPr>
        <w:t xml:space="preserve"> surface of the </w:t>
      </w:r>
      <w:proofErr w:type="spellStart"/>
      <w:r w:rsidR="00BF2D83" w:rsidRPr="002D0908">
        <w:rPr>
          <w:rFonts w:asciiTheme="majorBidi" w:hAnsiTheme="majorBidi" w:cstheme="majorBidi"/>
          <w:sz w:val="24"/>
          <w:szCs w:val="24"/>
          <w:lang w:bidi="ar-EG"/>
        </w:rPr>
        <w:t>pontic</w:t>
      </w:r>
      <w:proofErr w:type="spellEnd"/>
      <w:r w:rsidR="00BF2D83" w:rsidRPr="002D0908">
        <w:rPr>
          <w:rFonts w:asciiTheme="majorBidi" w:hAnsiTheme="majorBidi" w:cstheme="majorBidi"/>
          <w:sz w:val="24"/>
          <w:szCs w:val="24"/>
          <w:lang w:bidi="ar-EG"/>
        </w:rPr>
        <w:t xml:space="preserve"> and the distal surface of the second premolar in the form of an </w:t>
      </w:r>
      <w:proofErr w:type="spellStart"/>
      <w:r w:rsidR="00BF2D83" w:rsidRPr="002D0908">
        <w:rPr>
          <w:rFonts w:asciiTheme="majorBidi" w:hAnsiTheme="majorBidi" w:cstheme="majorBidi"/>
          <w:sz w:val="24"/>
          <w:szCs w:val="24"/>
          <w:lang w:bidi="ar-EG"/>
        </w:rPr>
        <w:t>occlusal</w:t>
      </w:r>
      <w:proofErr w:type="spellEnd"/>
      <w:r w:rsidR="00BF2D83" w:rsidRPr="002D0908">
        <w:rPr>
          <w:rFonts w:asciiTheme="majorBidi" w:hAnsiTheme="majorBidi" w:cstheme="majorBidi"/>
          <w:sz w:val="24"/>
          <w:szCs w:val="24"/>
          <w:lang w:bidi="ar-EG"/>
        </w:rPr>
        <w:t xml:space="preserve"> rest and a deep spoon shaped rest seat.</w:t>
      </w:r>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The spoon shaped rest seats were prepared on the distal marginal ridges of the natural teeth retainers (</w:t>
      </w:r>
      <w:proofErr w:type="spellStart"/>
      <w:r w:rsidRPr="002D0908">
        <w:rPr>
          <w:rFonts w:asciiTheme="majorBidi" w:hAnsiTheme="majorBidi" w:cstheme="majorBidi"/>
          <w:sz w:val="24"/>
          <w:szCs w:val="24"/>
          <w:lang w:bidi="ar-EG"/>
        </w:rPr>
        <w:t>mesial</w:t>
      </w:r>
      <w:proofErr w:type="spellEnd"/>
      <w:r w:rsidRPr="002D0908">
        <w:rPr>
          <w:rFonts w:asciiTheme="majorBidi" w:hAnsiTheme="majorBidi" w:cstheme="majorBidi"/>
          <w:sz w:val="24"/>
          <w:szCs w:val="24"/>
          <w:lang w:bidi="ar-EG"/>
        </w:rPr>
        <w:t xml:space="preserve"> abutment), directed towards their central </w:t>
      </w:r>
      <w:proofErr w:type="spellStart"/>
      <w:r w:rsidRPr="002D0908">
        <w:rPr>
          <w:rFonts w:asciiTheme="majorBidi" w:hAnsiTheme="majorBidi" w:cstheme="majorBidi"/>
          <w:sz w:val="24"/>
          <w:szCs w:val="24"/>
          <w:lang w:bidi="ar-EG"/>
        </w:rPr>
        <w:t>fossae</w:t>
      </w:r>
      <w:proofErr w:type="spellEnd"/>
      <w:r w:rsidRPr="002D0908">
        <w:rPr>
          <w:rFonts w:asciiTheme="majorBidi" w:hAnsiTheme="majorBidi" w:cstheme="majorBidi"/>
          <w:sz w:val="24"/>
          <w:szCs w:val="24"/>
          <w:lang w:bidi="ar-EG"/>
        </w:rPr>
        <w:t xml:space="preserve">, and the corresponding </w:t>
      </w:r>
      <w:proofErr w:type="spellStart"/>
      <w:r w:rsidRPr="002D0908">
        <w:rPr>
          <w:rFonts w:asciiTheme="majorBidi" w:hAnsiTheme="majorBidi" w:cstheme="majorBidi"/>
          <w:sz w:val="24"/>
          <w:szCs w:val="24"/>
          <w:lang w:bidi="ar-EG"/>
        </w:rPr>
        <w:t>occlusal</w:t>
      </w:r>
      <w:proofErr w:type="spellEnd"/>
      <w:r w:rsidRPr="002D0908">
        <w:rPr>
          <w:rFonts w:asciiTheme="majorBidi" w:hAnsiTheme="majorBidi" w:cstheme="majorBidi"/>
          <w:sz w:val="24"/>
          <w:szCs w:val="24"/>
          <w:lang w:bidi="ar-EG"/>
        </w:rPr>
        <w:t xml:space="preserve"> rests were attached to the </w:t>
      </w:r>
      <w:proofErr w:type="spellStart"/>
      <w:r w:rsidRPr="002D0908">
        <w:rPr>
          <w:rFonts w:asciiTheme="majorBidi" w:hAnsiTheme="majorBidi" w:cstheme="majorBidi"/>
          <w:sz w:val="24"/>
          <w:szCs w:val="24"/>
          <w:lang w:bidi="ar-EG"/>
        </w:rPr>
        <w:t>mesial</w:t>
      </w:r>
      <w:proofErr w:type="spellEnd"/>
      <w:r w:rsidRPr="002D0908">
        <w:rPr>
          <w:rFonts w:asciiTheme="majorBidi" w:hAnsiTheme="majorBidi" w:cstheme="majorBidi"/>
          <w:sz w:val="24"/>
          <w:szCs w:val="24"/>
          <w:lang w:bidi="ar-EG"/>
        </w:rPr>
        <w:t xml:space="preserve"> part of the </w:t>
      </w:r>
      <w:proofErr w:type="spellStart"/>
      <w:r w:rsidRPr="002D0908">
        <w:rPr>
          <w:rFonts w:asciiTheme="majorBidi" w:hAnsiTheme="majorBidi" w:cstheme="majorBidi"/>
          <w:sz w:val="24"/>
          <w:szCs w:val="24"/>
          <w:lang w:bidi="ar-EG"/>
        </w:rPr>
        <w:t>pontic</w:t>
      </w:r>
      <w:proofErr w:type="spellEnd"/>
      <w:r w:rsidRPr="002D0908">
        <w:rPr>
          <w:rFonts w:asciiTheme="majorBidi" w:hAnsiTheme="majorBidi" w:cstheme="majorBidi"/>
          <w:sz w:val="24"/>
          <w:szCs w:val="24"/>
          <w:lang w:bidi="ar-EG"/>
        </w:rPr>
        <w:t>. Each rest seat provided a space of 1.5 mm depth and 2.5 mm width, and all walls of the rest seats were rounded to allow freedom of movement for tooth-</w:t>
      </w:r>
      <w:proofErr w:type="spellStart"/>
      <w:r w:rsidRPr="002D0908">
        <w:rPr>
          <w:rFonts w:asciiTheme="majorBidi" w:hAnsiTheme="majorBidi" w:cstheme="majorBidi"/>
          <w:sz w:val="24"/>
          <w:szCs w:val="24"/>
          <w:lang w:bidi="ar-EG"/>
        </w:rPr>
        <w:t>pontic</w:t>
      </w:r>
      <w:proofErr w:type="spellEnd"/>
      <w:r w:rsidRPr="002D0908">
        <w:rPr>
          <w:rFonts w:asciiTheme="majorBidi" w:hAnsiTheme="majorBidi" w:cstheme="majorBidi"/>
          <w:sz w:val="24"/>
          <w:szCs w:val="24"/>
          <w:lang w:bidi="ar-EG"/>
        </w:rPr>
        <w:t xml:space="preserve"> connection. </w:t>
      </w:r>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 xml:space="preserve">The FPDs had a modified ridge lap </w:t>
      </w:r>
      <w:proofErr w:type="spellStart"/>
      <w:r w:rsidRPr="002D0908">
        <w:rPr>
          <w:rFonts w:asciiTheme="majorBidi" w:hAnsiTheme="majorBidi" w:cstheme="majorBidi"/>
          <w:sz w:val="24"/>
          <w:szCs w:val="24"/>
          <w:lang w:bidi="ar-EG"/>
        </w:rPr>
        <w:t>pontic</w:t>
      </w:r>
      <w:proofErr w:type="spellEnd"/>
      <w:r w:rsidRPr="002D0908">
        <w:rPr>
          <w:rFonts w:asciiTheme="majorBidi" w:hAnsiTheme="majorBidi" w:cstheme="majorBidi"/>
          <w:sz w:val="24"/>
          <w:szCs w:val="24"/>
          <w:lang w:bidi="ar-EG"/>
        </w:rPr>
        <w:t xml:space="preserve"> design, with fixed connectors’ dimensions of 3x3 mm. </w:t>
      </w:r>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 xml:space="preserve">Prior </w:t>
      </w:r>
      <w:r w:rsidR="00244682" w:rsidRPr="002D0908">
        <w:rPr>
          <w:rFonts w:asciiTheme="majorBidi" w:hAnsiTheme="majorBidi" w:cstheme="majorBidi"/>
          <w:sz w:val="24"/>
          <w:szCs w:val="24"/>
          <w:lang w:bidi="ar-EG"/>
        </w:rPr>
        <w:t xml:space="preserve">to </w:t>
      </w:r>
      <w:r w:rsidRPr="002D0908">
        <w:rPr>
          <w:rFonts w:asciiTheme="majorBidi" w:hAnsiTheme="majorBidi" w:cstheme="majorBidi"/>
          <w:sz w:val="24"/>
          <w:szCs w:val="24"/>
          <w:lang w:bidi="ar-EG"/>
        </w:rPr>
        <w:t xml:space="preserve">cementation, each framework was evaluated for its adaptation, fitness and lack of premature contacts during centric and eccentric movements. Then FPDs were cemented with glass </w:t>
      </w:r>
      <w:proofErr w:type="spellStart"/>
      <w:r w:rsidRPr="002D0908">
        <w:rPr>
          <w:rFonts w:asciiTheme="majorBidi" w:hAnsiTheme="majorBidi" w:cstheme="majorBidi"/>
          <w:sz w:val="24"/>
          <w:szCs w:val="24"/>
          <w:lang w:bidi="ar-EG"/>
        </w:rPr>
        <w:t>ionomer</w:t>
      </w:r>
      <w:proofErr w:type="spellEnd"/>
      <w:r w:rsidRPr="002D0908">
        <w:rPr>
          <w:rFonts w:asciiTheme="majorBidi" w:hAnsiTheme="majorBidi" w:cstheme="majorBidi"/>
          <w:sz w:val="24"/>
          <w:szCs w:val="24"/>
          <w:lang w:bidi="ar-EG"/>
        </w:rPr>
        <w:t xml:space="preserve"> cement (</w:t>
      </w:r>
      <w:proofErr w:type="spellStart"/>
      <w:r w:rsidRPr="002D0908">
        <w:rPr>
          <w:rFonts w:asciiTheme="majorBidi" w:hAnsiTheme="majorBidi" w:cstheme="majorBidi"/>
          <w:sz w:val="24"/>
          <w:szCs w:val="24"/>
          <w:lang w:bidi="ar-EG"/>
        </w:rPr>
        <w:t>Medicem</w:t>
      </w:r>
      <w:proofErr w:type="spellEnd"/>
      <w:r w:rsidRPr="002D0908">
        <w:rPr>
          <w:rFonts w:asciiTheme="majorBidi" w:hAnsiTheme="majorBidi" w:cstheme="majorBidi"/>
          <w:sz w:val="24"/>
          <w:szCs w:val="24"/>
          <w:lang w:bidi="ar-EG"/>
        </w:rPr>
        <w:t xml:space="preserve">, </w:t>
      </w:r>
      <w:proofErr w:type="spellStart"/>
      <w:r w:rsidRPr="002D0908">
        <w:rPr>
          <w:rFonts w:asciiTheme="majorBidi" w:hAnsiTheme="majorBidi" w:cstheme="majorBidi"/>
          <w:sz w:val="24"/>
          <w:szCs w:val="24"/>
          <w:lang w:bidi="ar-EG"/>
        </w:rPr>
        <w:t>Promedica</w:t>
      </w:r>
      <w:proofErr w:type="spellEnd"/>
      <w:r w:rsidRPr="002D0908">
        <w:rPr>
          <w:rFonts w:asciiTheme="majorBidi" w:hAnsiTheme="majorBidi" w:cstheme="majorBidi"/>
          <w:sz w:val="24"/>
          <w:szCs w:val="24"/>
          <w:lang w:bidi="ar-EG"/>
        </w:rPr>
        <w:t>-Germany).</w:t>
      </w:r>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 xml:space="preserve">Following prosthetic treatment, the patients were seen for follow-up every 3 months. Implant survival was based on the following criteria: absence of mobility, absence of painful symptoms or </w:t>
      </w:r>
      <w:proofErr w:type="spellStart"/>
      <w:r w:rsidRPr="002D0908">
        <w:rPr>
          <w:rFonts w:asciiTheme="majorBidi" w:hAnsiTheme="majorBidi" w:cstheme="majorBidi"/>
          <w:sz w:val="24"/>
          <w:szCs w:val="24"/>
          <w:lang w:bidi="ar-EG"/>
        </w:rPr>
        <w:t>paresthesia</w:t>
      </w:r>
      <w:proofErr w:type="spellEnd"/>
      <w:r w:rsidRPr="002D0908">
        <w:rPr>
          <w:rFonts w:asciiTheme="majorBidi" w:hAnsiTheme="majorBidi" w:cstheme="majorBidi"/>
          <w:sz w:val="24"/>
          <w:szCs w:val="24"/>
          <w:lang w:bidi="ar-EG"/>
        </w:rPr>
        <w:t xml:space="preserve">, absence of </w:t>
      </w:r>
      <w:proofErr w:type="spellStart"/>
      <w:r w:rsidRPr="002D0908">
        <w:rPr>
          <w:rFonts w:asciiTheme="majorBidi" w:hAnsiTheme="majorBidi" w:cstheme="majorBidi"/>
          <w:sz w:val="24"/>
          <w:szCs w:val="24"/>
          <w:lang w:bidi="ar-EG"/>
        </w:rPr>
        <w:t>peri</w:t>
      </w:r>
      <w:proofErr w:type="spellEnd"/>
      <w:r w:rsidRPr="002D0908">
        <w:rPr>
          <w:rFonts w:asciiTheme="majorBidi" w:hAnsiTheme="majorBidi" w:cstheme="majorBidi"/>
          <w:sz w:val="24"/>
          <w:szCs w:val="24"/>
          <w:lang w:bidi="ar-EG"/>
        </w:rPr>
        <w:t xml:space="preserve">-implant </w:t>
      </w:r>
      <w:proofErr w:type="spellStart"/>
      <w:r w:rsidRPr="002D0908">
        <w:rPr>
          <w:rFonts w:asciiTheme="majorBidi" w:hAnsiTheme="majorBidi" w:cstheme="majorBidi"/>
          <w:sz w:val="24"/>
          <w:szCs w:val="24"/>
          <w:lang w:bidi="ar-EG"/>
        </w:rPr>
        <w:t>radiolucency</w:t>
      </w:r>
      <w:proofErr w:type="spellEnd"/>
      <w:r w:rsidRPr="002D0908">
        <w:rPr>
          <w:rFonts w:asciiTheme="majorBidi" w:hAnsiTheme="majorBidi" w:cstheme="majorBidi"/>
          <w:sz w:val="24"/>
          <w:szCs w:val="24"/>
          <w:lang w:bidi="ar-EG"/>
        </w:rPr>
        <w:t>, and absence of progressive marginal bone loss</w:t>
      </w:r>
      <w:r w:rsidR="0046747F" w:rsidRPr="002D0908">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392638856"/>
          <w:citation/>
        </w:sdtPr>
        <w:sdtContent>
          <w:r w:rsidR="001919A5" w:rsidRPr="002D0908">
            <w:rPr>
              <w:rFonts w:asciiTheme="majorBidi" w:hAnsiTheme="majorBidi" w:cstheme="majorBidi"/>
              <w:sz w:val="24"/>
              <w:szCs w:val="24"/>
              <w:lang w:bidi="ar-EG"/>
            </w:rPr>
            <w:fldChar w:fldCharType="begin"/>
          </w:r>
          <w:r w:rsidR="0046747F" w:rsidRPr="002D0908">
            <w:rPr>
              <w:rFonts w:asciiTheme="majorBidi" w:hAnsiTheme="majorBidi" w:cstheme="majorBidi"/>
              <w:sz w:val="24"/>
              <w:szCs w:val="24"/>
              <w:lang w:bidi="ar-EG"/>
            </w:rPr>
            <w:instrText xml:space="preserve"> CITATION Ade90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(Adell R, 1990)</w:t>
          </w:r>
          <w:r w:rsidR="001919A5" w:rsidRPr="002D0908">
            <w:rPr>
              <w:rFonts w:asciiTheme="majorBidi" w:hAnsiTheme="majorBidi" w:cstheme="majorBidi"/>
              <w:sz w:val="24"/>
              <w:szCs w:val="24"/>
              <w:lang w:bidi="ar-EG"/>
            </w:rPr>
            <w:fldChar w:fldCharType="end"/>
          </w:r>
        </w:sdtContent>
      </w:sdt>
      <w:r w:rsidRPr="002D0908">
        <w:rPr>
          <w:rFonts w:asciiTheme="majorBidi" w:hAnsiTheme="majorBidi" w:cstheme="majorBidi"/>
          <w:sz w:val="24"/>
          <w:szCs w:val="24"/>
          <w:lang w:bidi="ar-EG"/>
        </w:rPr>
        <w:t>.</w:t>
      </w:r>
    </w:p>
    <w:p w:rsidR="00612780" w:rsidRPr="002D0908" w:rsidRDefault="001919A5" w:rsidP="00D87ACB">
      <w:pPr>
        <w:shd w:val="clear" w:color="auto" w:fill="FFFFFF"/>
        <w:autoSpaceDE w:val="0"/>
        <w:autoSpaceDN w:val="0"/>
        <w:bidi w:val="0"/>
        <w:adjustRightInd w:val="0"/>
        <w:spacing w:before="120" w:after="0" w:line="360" w:lineRule="auto"/>
        <w:jc w:val="both"/>
        <w:rPr>
          <w:rFonts w:asciiTheme="majorBidi" w:hAnsiTheme="majorBidi" w:cstheme="majorBidi"/>
          <w:sz w:val="24"/>
          <w:szCs w:val="24"/>
          <w:lang w:bidi="ar-EG"/>
        </w:rPr>
      </w:pPr>
      <w:r w:rsidRPr="001919A5">
        <w:rPr>
          <w:rFonts w:asciiTheme="majorBidi" w:hAnsiTheme="majorBidi" w:cstheme="majorBidi"/>
          <w:noProof/>
          <w:sz w:val="28"/>
          <w:szCs w:val="28"/>
        </w:rPr>
        <w:lastRenderedPageBreak/>
        <w:pict>
          <v:shapetype id="_x0000_t202" coordsize="21600,21600" o:spt="202" path="m,l,21600r21600,l21600,xe">
            <v:stroke joinstyle="miter"/>
            <v:path gradientshapeok="t" o:connecttype="rect"/>
          </v:shapetype>
          <v:shape id="_x0000_s1029" type="#_x0000_t202" style="position:absolute;left:0;text-align:left;margin-left:-3.85pt;margin-top:147.55pt;width:433.15pt;height:324.6pt;z-index:-251657216">
            <v:textbox style="mso-next-textbox:#_x0000_s1029">
              <w:txbxContent>
                <w:p w:rsidR="000362F0" w:rsidRDefault="000362F0" w:rsidP="00612780">
                  <w:pPr>
                    <w:jc w:val="center"/>
                    <w:rPr>
                      <w:rtl/>
                      <w:lang w:bidi="ar-EG"/>
                    </w:rPr>
                  </w:pPr>
                  <w:r>
                    <w:rPr>
                      <w:noProof/>
                    </w:rPr>
                    <w:drawing>
                      <wp:inline distT="0" distB="0" distL="0" distR="0">
                        <wp:extent cx="3914775" cy="1543050"/>
                        <wp:effectExtent l="19050" t="0" r="9525"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t="30704"/>
                                <a:stretch>
                                  <a:fillRect/>
                                </a:stretch>
                              </pic:blipFill>
                              <pic:spPr bwMode="auto">
                                <a:xfrm>
                                  <a:off x="0" y="0"/>
                                  <a:ext cx="3914775" cy="1543050"/>
                                </a:xfrm>
                                <a:prstGeom prst="rect">
                                  <a:avLst/>
                                </a:prstGeom>
                                <a:noFill/>
                                <a:ln w="9525">
                                  <a:noFill/>
                                  <a:miter lim="800000"/>
                                  <a:headEnd/>
                                  <a:tailEnd/>
                                </a:ln>
                              </pic:spPr>
                            </pic:pic>
                          </a:graphicData>
                        </a:graphic>
                      </wp:inline>
                    </w:drawing>
                  </w:r>
                </w:p>
                <w:p w:rsidR="000362F0" w:rsidRDefault="000362F0" w:rsidP="000362F0">
                  <w:pPr>
                    <w:jc w:val="center"/>
                  </w:pPr>
                  <w:r>
                    <w:rPr>
                      <w:noProof/>
                    </w:rPr>
                    <w:drawing>
                      <wp:inline distT="0" distB="0" distL="0" distR="0">
                        <wp:extent cx="3981450" cy="1657350"/>
                        <wp:effectExtent l="1905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b="25833"/>
                                <a:stretch>
                                  <a:fillRect/>
                                </a:stretch>
                              </pic:blipFill>
                              <pic:spPr bwMode="auto">
                                <a:xfrm>
                                  <a:off x="0" y="0"/>
                                  <a:ext cx="3981450" cy="1657350"/>
                                </a:xfrm>
                                <a:prstGeom prst="rect">
                                  <a:avLst/>
                                </a:prstGeom>
                                <a:noFill/>
                                <a:ln w="9525">
                                  <a:noFill/>
                                  <a:miter lim="800000"/>
                                  <a:headEnd/>
                                  <a:tailEnd/>
                                </a:ln>
                              </pic:spPr>
                            </pic:pic>
                          </a:graphicData>
                        </a:graphic>
                      </wp:inline>
                    </w:drawing>
                  </w:r>
                </w:p>
                <w:p w:rsidR="000362F0" w:rsidRPr="00F107B6" w:rsidRDefault="000362F0" w:rsidP="00F107B6">
                  <w:pPr>
                    <w:bidi w:val="0"/>
                    <w:spacing w:line="240" w:lineRule="auto"/>
                    <w:jc w:val="center"/>
                    <w:rPr>
                      <w:rFonts w:ascii="Times New Roman" w:hAnsi="Times New Roman" w:cs="Times New Roman"/>
                      <w:i/>
                      <w:iCs/>
                    </w:rPr>
                  </w:pPr>
                  <w:r w:rsidRPr="00F107B6">
                    <w:rPr>
                      <w:rFonts w:ascii="Times New Roman" w:hAnsi="Times New Roman" w:cs="Times New Roman"/>
                      <w:i/>
                      <w:iCs/>
                    </w:rPr>
                    <w:t>Fig (1):  measure of alveolar bone level and density profile in rigid group,    around abutment (ab</w:t>
                  </w:r>
                  <w:r w:rsidR="00612780" w:rsidRPr="00F107B6">
                    <w:rPr>
                      <w:rFonts w:ascii="Times New Roman" w:hAnsi="Times New Roman" w:cs="Times New Roman"/>
                      <w:i/>
                      <w:iCs/>
                    </w:rPr>
                    <w:t>ove) and around implant (below)</w:t>
                  </w:r>
                </w:p>
                <w:p w:rsidR="000362F0" w:rsidRPr="000362F0" w:rsidRDefault="000362F0" w:rsidP="000362F0">
                  <w:pPr>
                    <w:jc w:val="center"/>
                  </w:pPr>
                </w:p>
                <w:p w:rsidR="000362F0" w:rsidRDefault="000362F0" w:rsidP="000362F0">
                  <w:pPr>
                    <w:jc w:val="center"/>
                  </w:pPr>
                </w:p>
                <w:p w:rsidR="000362F0" w:rsidRDefault="000362F0" w:rsidP="000362F0">
                  <w:pPr>
                    <w:jc w:val="center"/>
                  </w:pPr>
                </w:p>
                <w:p w:rsidR="000362F0" w:rsidRDefault="000362F0" w:rsidP="000362F0">
                  <w:pPr>
                    <w:jc w:val="center"/>
                  </w:pPr>
                </w:p>
                <w:p w:rsidR="000362F0" w:rsidRDefault="000362F0" w:rsidP="000362F0">
                  <w:pPr>
                    <w:jc w:val="center"/>
                  </w:pPr>
                </w:p>
                <w:p w:rsidR="000362F0" w:rsidRDefault="000362F0" w:rsidP="000362F0">
                  <w:pPr>
                    <w:jc w:val="center"/>
                  </w:pPr>
                </w:p>
                <w:p w:rsidR="000362F0" w:rsidRDefault="000362F0" w:rsidP="000362F0">
                  <w:pPr>
                    <w:jc w:val="center"/>
                  </w:pPr>
                </w:p>
                <w:p w:rsidR="000362F0" w:rsidRDefault="000362F0" w:rsidP="000362F0">
                  <w:pPr>
                    <w:jc w:val="center"/>
                  </w:pPr>
                </w:p>
                <w:p w:rsidR="000362F0" w:rsidRDefault="000362F0" w:rsidP="000362F0">
                  <w:pPr>
                    <w:jc w:val="center"/>
                  </w:pPr>
                </w:p>
              </w:txbxContent>
            </v:textbox>
            <w10:wrap type="topAndBottom"/>
          </v:shape>
        </w:pict>
      </w:r>
      <w:r w:rsidR="00BF2D83" w:rsidRPr="002D0908">
        <w:rPr>
          <w:rFonts w:asciiTheme="majorBidi" w:hAnsiTheme="majorBidi" w:cstheme="majorBidi"/>
          <w:sz w:val="24"/>
          <w:szCs w:val="24"/>
          <w:lang w:bidi="ar-EG"/>
        </w:rPr>
        <w:t xml:space="preserve">Cone beam computed tomography (CBCT) scans were taken immediately following prosthesis loading and after 6 months of loading to evaluate the </w:t>
      </w:r>
      <w:proofErr w:type="spellStart"/>
      <w:r w:rsidR="00BF2D83" w:rsidRPr="002D0908">
        <w:rPr>
          <w:rFonts w:asciiTheme="majorBidi" w:hAnsiTheme="majorBidi" w:cstheme="majorBidi"/>
          <w:sz w:val="24"/>
          <w:szCs w:val="24"/>
          <w:lang w:bidi="ar-EG"/>
        </w:rPr>
        <w:t>crestal</w:t>
      </w:r>
      <w:proofErr w:type="spellEnd"/>
      <w:r w:rsidR="00BF2D83" w:rsidRPr="002D0908">
        <w:rPr>
          <w:rFonts w:asciiTheme="majorBidi" w:hAnsiTheme="majorBidi" w:cstheme="majorBidi"/>
          <w:sz w:val="24"/>
          <w:szCs w:val="24"/>
          <w:lang w:bidi="ar-EG"/>
        </w:rPr>
        <w:t xml:space="preserve"> bone level around both implants and abutments by measuring the distance from the crest of the ridge to a point perpendicular on the tangent of the most apical end of implant or tooth apex at the </w:t>
      </w:r>
      <w:proofErr w:type="spellStart"/>
      <w:r w:rsidR="00BF2D83" w:rsidRPr="002D0908">
        <w:rPr>
          <w:rFonts w:asciiTheme="majorBidi" w:hAnsiTheme="majorBidi" w:cstheme="majorBidi"/>
          <w:sz w:val="24"/>
          <w:szCs w:val="24"/>
          <w:lang w:bidi="ar-EG"/>
        </w:rPr>
        <w:t>mesial</w:t>
      </w:r>
      <w:proofErr w:type="spellEnd"/>
      <w:r w:rsidR="00BF2D83" w:rsidRPr="002D0908">
        <w:rPr>
          <w:rFonts w:asciiTheme="majorBidi" w:hAnsiTheme="majorBidi" w:cstheme="majorBidi"/>
          <w:sz w:val="24"/>
          <w:szCs w:val="24"/>
          <w:lang w:bidi="ar-EG"/>
        </w:rPr>
        <w:t xml:space="preserve">, distal, </w:t>
      </w:r>
      <w:proofErr w:type="spellStart"/>
      <w:r w:rsidR="00BF2D83" w:rsidRPr="002D0908">
        <w:rPr>
          <w:rFonts w:asciiTheme="majorBidi" w:hAnsiTheme="majorBidi" w:cstheme="majorBidi"/>
          <w:sz w:val="24"/>
          <w:szCs w:val="24"/>
          <w:lang w:bidi="ar-EG"/>
        </w:rPr>
        <w:t>buccal</w:t>
      </w:r>
      <w:proofErr w:type="spellEnd"/>
      <w:r w:rsidR="00BF2D83" w:rsidRPr="002D0908">
        <w:rPr>
          <w:rFonts w:asciiTheme="majorBidi" w:hAnsiTheme="majorBidi" w:cstheme="majorBidi"/>
          <w:sz w:val="24"/>
          <w:szCs w:val="24"/>
          <w:lang w:bidi="ar-EG"/>
        </w:rPr>
        <w:t xml:space="preserve">, and lingual </w:t>
      </w:r>
      <w:proofErr w:type="spellStart"/>
      <w:r w:rsidR="00BF2D83" w:rsidRPr="002D0908">
        <w:rPr>
          <w:rFonts w:asciiTheme="majorBidi" w:hAnsiTheme="majorBidi" w:cstheme="majorBidi"/>
          <w:sz w:val="24"/>
          <w:szCs w:val="24"/>
          <w:lang w:bidi="ar-EG"/>
        </w:rPr>
        <w:t>surfaces.Also</w:t>
      </w:r>
      <w:proofErr w:type="spellEnd"/>
      <w:r w:rsidR="00BF2D83" w:rsidRPr="002D0908">
        <w:rPr>
          <w:rFonts w:asciiTheme="majorBidi" w:hAnsiTheme="majorBidi" w:cstheme="majorBidi"/>
          <w:sz w:val="24"/>
          <w:szCs w:val="24"/>
          <w:lang w:bidi="ar-EG"/>
        </w:rPr>
        <w:t xml:space="preserve"> Bone density profile around implants and natural teeth was recorded at the four surfaces as well as </w:t>
      </w:r>
      <w:r w:rsidR="00612780" w:rsidRPr="002D0908">
        <w:rPr>
          <w:rFonts w:asciiTheme="majorBidi" w:hAnsiTheme="majorBidi" w:cstheme="majorBidi"/>
          <w:sz w:val="24"/>
          <w:szCs w:val="24"/>
          <w:lang w:bidi="ar-EG"/>
        </w:rPr>
        <w:t>the apical area (</w:t>
      </w:r>
      <w:r w:rsidR="00612780" w:rsidRPr="002D0908">
        <w:rPr>
          <w:rFonts w:asciiTheme="majorBidi" w:hAnsiTheme="majorBidi" w:cstheme="majorBidi"/>
        </w:rPr>
        <w:t xml:space="preserve">Figure </w:t>
      </w:r>
      <w:r w:rsidRPr="002D0908">
        <w:rPr>
          <w:rFonts w:asciiTheme="majorBidi" w:hAnsiTheme="majorBidi" w:cstheme="majorBidi"/>
        </w:rPr>
        <w:fldChar w:fldCharType="begin"/>
      </w:r>
      <w:r w:rsidR="00612780" w:rsidRPr="002D0908">
        <w:rPr>
          <w:rFonts w:asciiTheme="majorBidi" w:hAnsiTheme="majorBidi" w:cstheme="majorBidi"/>
        </w:rPr>
        <w:instrText xml:space="preserve"> SEQ Figure \* ARABIC </w:instrText>
      </w:r>
      <w:r w:rsidRPr="002D0908">
        <w:rPr>
          <w:rFonts w:asciiTheme="majorBidi" w:hAnsiTheme="majorBidi" w:cstheme="majorBidi"/>
        </w:rPr>
        <w:fldChar w:fldCharType="separate"/>
      </w:r>
      <w:r w:rsidR="00612780" w:rsidRPr="002D0908">
        <w:rPr>
          <w:rFonts w:asciiTheme="majorBidi" w:hAnsiTheme="majorBidi" w:cstheme="majorBidi"/>
          <w:noProof/>
        </w:rPr>
        <w:t>1</w:t>
      </w:r>
      <w:r w:rsidRPr="002D0908">
        <w:rPr>
          <w:rFonts w:asciiTheme="majorBidi" w:hAnsiTheme="majorBidi" w:cstheme="majorBidi"/>
        </w:rPr>
        <w:fldChar w:fldCharType="end"/>
      </w:r>
      <w:r w:rsidR="00612780" w:rsidRPr="002D0908">
        <w:rPr>
          <w:rFonts w:asciiTheme="majorBidi" w:hAnsiTheme="majorBidi" w:cstheme="majorBidi"/>
        </w:rPr>
        <w:t xml:space="preserve"> and Figure </w:t>
      </w:r>
      <w:r w:rsidRPr="002D0908">
        <w:rPr>
          <w:rFonts w:asciiTheme="majorBidi" w:hAnsiTheme="majorBidi" w:cstheme="majorBidi"/>
        </w:rPr>
        <w:fldChar w:fldCharType="begin"/>
      </w:r>
      <w:r w:rsidR="00612780" w:rsidRPr="002D0908">
        <w:rPr>
          <w:rFonts w:asciiTheme="majorBidi" w:hAnsiTheme="majorBidi" w:cstheme="majorBidi"/>
        </w:rPr>
        <w:instrText xml:space="preserve"> SEQ Figure \* ARABIC </w:instrText>
      </w:r>
      <w:r w:rsidRPr="002D0908">
        <w:rPr>
          <w:rFonts w:asciiTheme="majorBidi" w:hAnsiTheme="majorBidi" w:cstheme="majorBidi"/>
        </w:rPr>
        <w:fldChar w:fldCharType="separate"/>
      </w:r>
      <w:r w:rsidR="00612780" w:rsidRPr="002D0908">
        <w:rPr>
          <w:rFonts w:asciiTheme="majorBidi" w:hAnsiTheme="majorBidi" w:cstheme="majorBidi"/>
          <w:noProof/>
        </w:rPr>
        <w:t>2</w:t>
      </w:r>
      <w:r w:rsidRPr="002D0908">
        <w:rPr>
          <w:rFonts w:asciiTheme="majorBidi" w:hAnsiTheme="majorBidi" w:cstheme="majorBidi"/>
        </w:rPr>
        <w:fldChar w:fldCharType="end"/>
      </w:r>
      <w:r w:rsidR="00612780" w:rsidRPr="002D0908">
        <w:rPr>
          <w:rFonts w:asciiTheme="majorBidi" w:hAnsiTheme="majorBidi" w:cstheme="majorBidi"/>
        </w:rPr>
        <w:t>)</w:t>
      </w:r>
    </w:p>
    <w:p w:rsidR="00BF2D83" w:rsidRPr="002D0908" w:rsidRDefault="00BF2D83" w:rsidP="00D87ACB">
      <w:pPr>
        <w:shd w:val="clear" w:color="auto" w:fill="FFFFFF"/>
        <w:autoSpaceDE w:val="0"/>
        <w:autoSpaceDN w:val="0"/>
        <w:bidi w:val="0"/>
        <w:adjustRightInd w:val="0"/>
        <w:spacing w:before="120" w:after="0" w:line="360" w:lineRule="auto"/>
        <w:ind w:right="-154"/>
        <w:jc w:val="both"/>
        <w:rPr>
          <w:rFonts w:asciiTheme="majorBidi" w:hAnsiTheme="majorBidi" w:cstheme="majorBidi"/>
          <w:sz w:val="24"/>
          <w:szCs w:val="24"/>
          <w:lang w:bidi="ar-EG"/>
        </w:rPr>
      </w:pPr>
      <w:r w:rsidRPr="002D0908">
        <w:rPr>
          <w:rFonts w:asciiTheme="majorBidi" w:hAnsiTheme="majorBidi" w:cstheme="majorBidi"/>
          <w:sz w:val="24"/>
          <w:szCs w:val="24"/>
          <w:lang w:bidi="ar-EG"/>
        </w:rPr>
        <w:t xml:space="preserve">CBCT scans </w:t>
      </w:r>
      <w:r w:rsidRPr="002D0908">
        <w:rPr>
          <w:rFonts w:asciiTheme="majorBidi" w:hAnsiTheme="majorBidi" w:cstheme="majorBidi"/>
          <w:color w:val="000000"/>
          <w:sz w:val="24"/>
          <w:szCs w:val="24"/>
          <w:lang w:bidi="ar-EG"/>
        </w:rPr>
        <w:t xml:space="preserve">were obtained by </w:t>
      </w:r>
      <w:proofErr w:type="spellStart"/>
      <w:r w:rsidRPr="002D0908">
        <w:rPr>
          <w:rFonts w:asciiTheme="majorBidi" w:hAnsiTheme="majorBidi" w:cstheme="majorBidi"/>
          <w:color w:val="000000"/>
          <w:sz w:val="24"/>
          <w:szCs w:val="24"/>
          <w:lang w:bidi="ar-EG"/>
        </w:rPr>
        <w:t>Scanora</w:t>
      </w:r>
      <w:proofErr w:type="spellEnd"/>
      <w:r w:rsidRPr="002D0908">
        <w:rPr>
          <w:rFonts w:asciiTheme="majorBidi" w:hAnsiTheme="majorBidi" w:cstheme="majorBidi"/>
          <w:color w:val="000000"/>
          <w:sz w:val="24"/>
          <w:szCs w:val="24"/>
          <w:lang w:bidi="ar-EG"/>
        </w:rPr>
        <w:t xml:space="preserve"> 3D scanner, (</w:t>
      </w:r>
      <w:proofErr w:type="spellStart"/>
      <w:proofErr w:type="gramStart"/>
      <w:r w:rsidRPr="002D0908">
        <w:rPr>
          <w:rFonts w:asciiTheme="majorBidi" w:hAnsiTheme="majorBidi" w:cstheme="majorBidi"/>
          <w:color w:val="000000"/>
          <w:sz w:val="24"/>
          <w:szCs w:val="24"/>
          <w:lang w:bidi="ar-EG"/>
        </w:rPr>
        <w:t>Sorredex</w:t>
      </w:r>
      <w:proofErr w:type="spellEnd"/>
      <w:r w:rsidRPr="002D0908">
        <w:rPr>
          <w:rFonts w:asciiTheme="majorBidi" w:hAnsiTheme="majorBidi" w:cstheme="majorBidi"/>
          <w:color w:val="000000"/>
          <w:sz w:val="24"/>
          <w:szCs w:val="24"/>
          <w:lang w:bidi="ar-EG"/>
        </w:rPr>
        <w:t xml:space="preserve"> ,</w:t>
      </w:r>
      <w:proofErr w:type="gramEnd"/>
      <w:r w:rsidRPr="002D0908">
        <w:rPr>
          <w:rFonts w:asciiTheme="majorBidi" w:hAnsiTheme="majorBidi" w:cstheme="majorBidi"/>
          <w:color w:val="000000"/>
          <w:sz w:val="24"/>
          <w:szCs w:val="24"/>
          <w:lang w:bidi="ar-EG"/>
        </w:rPr>
        <w:t xml:space="preserve"> Finland) at (M. </w:t>
      </w:r>
      <w:proofErr w:type="spellStart"/>
      <w:r w:rsidRPr="002D0908">
        <w:rPr>
          <w:rFonts w:asciiTheme="majorBidi" w:hAnsiTheme="majorBidi" w:cstheme="majorBidi"/>
          <w:color w:val="000000"/>
          <w:sz w:val="24"/>
          <w:szCs w:val="24"/>
          <w:lang w:bidi="ar-EG"/>
        </w:rPr>
        <w:t>Ekram</w:t>
      </w:r>
      <w:proofErr w:type="spellEnd"/>
      <w:r w:rsidRPr="002D0908">
        <w:rPr>
          <w:rFonts w:asciiTheme="majorBidi" w:hAnsiTheme="majorBidi" w:cstheme="majorBidi"/>
          <w:color w:val="000000"/>
          <w:sz w:val="24"/>
          <w:szCs w:val="24"/>
          <w:lang w:bidi="ar-EG"/>
        </w:rPr>
        <w:t xml:space="preserve"> radiology center). Exposure parameters were 15 </w:t>
      </w:r>
      <w:proofErr w:type="spellStart"/>
      <w:r w:rsidRPr="002D0908">
        <w:rPr>
          <w:rFonts w:asciiTheme="majorBidi" w:hAnsiTheme="majorBidi" w:cstheme="majorBidi"/>
          <w:color w:val="000000"/>
          <w:sz w:val="24"/>
          <w:szCs w:val="24"/>
          <w:lang w:bidi="ar-EG"/>
        </w:rPr>
        <w:t>mA</w:t>
      </w:r>
      <w:proofErr w:type="spellEnd"/>
      <w:r w:rsidRPr="002D0908">
        <w:rPr>
          <w:rFonts w:asciiTheme="majorBidi" w:hAnsiTheme="majorBidi" w:cstheme="majorBidi"/>
          <w:color w:val="000000"/>
          <w:sz w:val="24"/>
          <w:szCs w:val="24"/>
          <w:lang w:bidi="ar-EG"/>
        </w:rPr>
        <w:t xml:space="preserve">, 85 kV, 0.1 mm thickness. </w:t>
      </w:r>
      <w:r w:rsidRPr="002D0908">
        <w:rPr>
          <w:rFonts w:asciiTheme="majorBidi" w:hAnsiTheme="majorBidi" w:cstheme="majorBidi"/>
          <w:color w:val="000000"/>
          <w:sz w:val="24"/>
          <w:szCs w:val="24"/>
        </w:rPr>
        <w:t xml:space="preserve">The acquired data was viewed and measurements were performed by 3D </w:t>
      </w:r>
      <w:proofErr w:type="spellStart"/>
      <w:r w:rsidRPr="002D0908">
        <w:rPr>
          <w:rFonts w:asciiTheme="majorBidi" w:hAnsiTheme="majorBidi" w:cstheme="majorBidi"/>
          <w:color w:val="000000"/>
          <w:sz w:val="24"/>
          <w:szCs w:val="24"/>
        </w:rPr>
        <w:t>multiplanar</w:t>
      </w:r>
      <w:proofErr w:type="spellEnd"/>
      <w:r w:rsidRPr="002D0908">
        <w:rPr>
          <w:rFonts w:asciiTheme="majorBidi" w:hAnsiTheme="majorBidi" w:cstheme="majorBidi"/>
          <w:color w:val="000000"/>
          <w:sz w:val="24"/>
          <w:szCs w:val="24"/>
        </w:rPr>
        <w:t xml:space="preserve"> radiography provided with the scanner (On demand 3D project viewer limited) software version 1.0.9 (Cyber med, Korea)</w:t>
      </w:r>
    </w:p>
    <w:p w:rsidR="00BF2D83" w:rsidRPr="002D0908" w:rsidRDefault="001919A5" w:rsidP="00D87ACB">
      <w:pPr>
        <w:bidi w:val="0"/>
        <w:spacing w:after="0" w:line="360" w:lineRule="auto"/>
        <w:jc w:val="both"/>
        <w:rPr>
          <w:rFonts w:asciiTheme="majorBidi" w:hAnsiTheme="majorBidi" w:cstheme="majorBidi"/>
          <w:sz w:val="24"/>
          <w:szCs w:val="24"/>
        </w:rPr>
      </w:pPr>
      <w:r w:rsidRPr="001919A5">
        <w:rPr>
          <w:rFonts w:asciiTheme="majorBidi" w:hAnsiTheme="majorBidi" w:cstheme="majorBidi"/>
          <w:noProof/>
        </w:rPr>
        <w:lastRenderedPageBreak/>
        <w:pict>
          <v:shape id="_x0000_s1027" type="#_x0000_t202" style="position:absolute;left:0;text-align:left;margin-left:-12.1pt;margin-top:93.85pt;width:444.2pt;height:421.95pt;z-index:-251658240">
            <v:textbox style="mso-next-textbox:#_x0000_s1027">
              <w:txbxContent>
                <w:p w:rsidR="00495D8E" w:rsidRDefault="00495D8E" w:rsidP="00F107B6">
                  <w:pPr>
                    <w:jc w:val="center"/>
                    <w:rPr>
                      <w:rtl/>
                      <w:lang w:bidi="ar-EG"/>
                    </w:rPr>
                  </w:pPr>
                  <w:r>
                    <w:rPr>
                      <w:noProof/>
                    </w:rPr>
                    <w:drawing>
                      <wp:inline distT="0" distB="0" distL="0" distR="0">
                        <wp:extent cx="3981450" cy="22669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3981450" cy="2266950"/>
                                </a:xfrm>
                                <a:prstGeom prst="rect">
                                  <a:avLst/>
                                </a:prstGeom>
                                <a:noFill/>
                                <a:ln w="9525">
                                  <a:noFill/>
                                  <a:miter lim="800000"/>
                                  <a:headEnd/>
                                  <a:tailEnd/>
                                </a:ln>
                              </pic:spPr>
                            </pic:pic>
                          </a:graphicData>
                        </a:graphic>
                      </wp:inline>
                    </w:drawing>
                  </w:r>
                </w:p>
                <w:p w:rsidR="00495D8E" w:rsidRDefault="00495D8E" w:rsidP="004B3C63">
                  <w:pPr>
                    <w:jc w:val="center"/>
                  </w:pPr>
                  <w:r>
                    <w:rPr>
                      <w:noProof/>
                    </w:rPr>
                    <w:drawing>
                      <wp:inline distT="0" distB="0" distL="0" distR="0">
                        <wp:extent cx="3981450" cy="22669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3981450" cy="2266950"/>
                                </a:xfrm>
                                <a:prstGeom prst="rect">
                                  <a:avLst/>
                                </a:prstGeom>
                                <a:noFill/>
                                <a:ln w="9525">
                                  <a:noFill/>
                                  <a:miter lim="800000"/>
                                  <a:headEnd/>
                                  <a:tailEnd/>
                                </a:ln>
                              </pic:spPr>
                            </pic:pic>
                          </a:graphicData>
                        </a:graphic>
                      </wp:inline>
                    </w:drawing>
                  </w:r>
                </w:p>
                <w:p w:rsidR="000362F0" w:rsidRPr="00F107B6" w:rsidRDefault="000362F0" w:rsidP="000362F0">
                  <w:pPr>
                    <w:jc w:val="center"/>
                    <w:rPr>
                      <w:rFonts w:ascii="Times New Roman" w:hAnsi="Times New Roman" w:cs="Times New Roman"/>
                      <w:i/>
                      <w:iCs/>
                      <w:rtl/>
                      <w:lang w:bidi="ar-EG"/>
                    </w:rPr>
                  </w:pPr>
                  <w:r w:rsidRPr="00F107B6">
                    <w:rPr>
                      <w:rFonts w:ascii="Times New Roman" w:hAnsi="Times New Roman" w:cs="Times New Roman"/>
                      <w:i/>
                      <w:iCs/>
                    </w:rPr>
                    <w:t>Fig (2):  measure of alveolar bone level and density profile in non- rigid group, around abutment (above) and around implant (below)</w:t>
                  </w:r>
                </w:p>
                <w:p w:rsidR="00495D8E" w:rsidRDefault="00495D8E" w:rsidP="004B3C63">
                  <w:pPr>
                    <w:jc w:val="center"/>
                  </w:pPr>
                </w:p>
                <w:p w:rsidR="00495D8E" w:rsidRDefault="00495D8E" w:rsidP="004B3C63">
                  <w:pPr>
                    <w:jc w:val="center"/>
                  </w:pPr>
                </w:p>
                <w:p w:rsidR="00495D8E" w:rsidRDefault="00495D8E" w:rsidP="004B3C63">
                  <w:pPr>
                    <w:jc w:val="center"/>
                  </w:pPr>
                </w:p>
                <w:p w:rsidR="00495D8E" w:rsidRDefault="00495D8E" w:rsidP="004B3C63">
                  <w:pPr>
                    <w:jc w:val="center"/>
                  </w:pPr>
                </w:p>
                <w:p w:rsidR="00495D8E" w:rsidRDefault="00495D8E" w:rsidP="004B3C63">
                  <w:pPr>
                    <w:jc w:val="center"/>
                  </w:pPr>
                </w:p>
                <w:p w:rsidR="00495D8E" w:rsidRDefault="00495D8E" w:rsidP="004B3C63">
                  <w:pPr>
                    <w:jc w:val="center"/>
                  </w:pPr>
                </w:p>
                <w:p w:rsidR="00495D8E" w:rsidRDefault="00495D8E" w:rsidP="004B3C63">
                  <w:pPr>
                    <w:jc w:val="center"/>
                  </w:pPr>
                </w:p>
                <w:p w:rsidR="00495D8E" w:rsidRDefault="00495D8E" w:rsidP="004B3C63">
                  <w:pPr>
                    <w:jc w:val="center"/>
                  </w:pPr>
                </w:p>
              </w:txbxContent>
            </v:textbox>
            <w10:wrap type="topAndBottom"/>
          </v:shape>
        </w:pict>
      </w:r>
      <w:r w:rsidR="00BF2D83" w:rsidRPr="002D0908">
        <w:rPr>
          <w:rFonts w:asciiTheme="majorBidi" w:hAnsiTheme="majorBidi" w:cstheme="majorBidi"/>
          <w:sz w:val="24"/>
          <w:szCs w:val="24"/>
        </w:rPr>
        <w:t xml:space="preserve">Data were presented as mean and standard </w:t>
      </w:r>
      <w:r w:rsidR="0046747F" w:rsidRPr="002D0908">
        <w:rPr>
          <w:rFonts w:asciiTheme="majorBidi" w:hAnsiTheme="majorBidi" w:cstheme="majorBidi"/>
          <w:sz w:val="24"/>
          <w:szCs w:val="24"/>
        </w:rPr>
        <w:t>deviation (</w:t>
      </w:r>
      <w:r w:rsidR="00BF2D83" w:rsidRPr="002D0908">
        <w:rPr>
          <w:rFonts w:asciiTheme="majorBidi" w:hAnsiTheme="majorBidi" w:cstheme="majorBidi"/>
          <w:sz w:val="24"/>
          <w:szCs w:val="24"/>
        </w:rPr>
        <w:t xml:space="preserve">SD) values. Mann-Whitney </w:t>
      </w:r>
      <w:r w:rsidR="00BF2D83" w:rsidRPr="002D0908">
        <w:rPr>
          <w:rFonts w:asciiTheme="majorBidi" w:hAnsiTheme="majorBidi" w:cstheme="majorBidi"/>
          <w:i/>
          <w:iCs/>
          <w:sz w:val="24"/>
          <w:szCs w:val="24"/>
        </w:rPr>
        <w:t>U</w:t>
      </w:r>
      <w:r w:rsidR="00BF2D83" w:rsidRPr="002D0908">
        <w:rPr>
          <w:rFonts w:asciiTheme="majorBidi" w:hAnsiTheme="majorBidi" w:cstheme="majorBidi"/>
          <w:sz w:val="24"/>
          <w:szCs w:val="24"/>
        </w:rPr>
        <w:t xml:space="preserve"> test was used to compare between the two groups. The significance level was set at </w:t>
      </w:r>
      <w:r w:rsidR="00BF2D83" w:rsidRPr="002D0908">
        <w:rPr>
          <w:rFonts w:asciiTheme="majorBidi" w:hAnsiTheme="majorBidi" w:cstheme="majorBidi"/>
          <w:i/>
          <w:iCs/>
          <w:sz w:val="24"/>
          <w:szCs w:val="24"/>
        </w:rPr>
        <w:t>P ≤ 0.05</w:t>
      </w:r>
      <w:r w:rsidR="00BF2D83" w:rsidRPr="002D0908">
        <w:rPr>
          <w:rFonts w:asciiTheme="majorBidi" w:hAnsiTheme="majorBidi" w:cstheme="majorBidi"/>
          <w:sz w:val="24"/>
          <w:szCs w:val="24"/>
        </w:rPr>
        <w:t>. Statistical analysis was performed with PASW Statistics 18.0</w:t>
      </w:r>
      <w:r w:rsidR="00BF2D83" w:rsidRPr="002D0908">
        <w:rPr>
          <w:rStyle w:val="FootnoteReference"/>
          <w:rFonts w:asciiTheme="majorBidi" w:hAnsiTheme="majorBidi" w:cstheme="majorBidi"/>
          <w:sz w:val="24"/>
          <w:szCs w:val="24"/>
        </w:rPr>
        <w:footnoteReference w:id="1"/>
      </w:r>
      <w:r w:rsidR="00BF2D83" w:rsidRPr="002D0908">
        <w:rPr>
          <w:rStyle w:val="FootnoteReference"/>
          <w:rFonts w:asciiTheme="majorBidi" w:hAnsiTheme="majorBidi" w:cstheme="majorBidi"/>
          <w:sz w:val="24"/>
          <w:szCs w:val="24"/>
        </w:rPr>
        <w:t>®</w:t>
      </w:r>
      <w:r w:rsidR="00BF2D83" w:rsidRPr="002D0908">
        <w:rPr>
          <w:rFonts w:asciiTheme="majorBidi" w:hAnsiTheme="majorBidi" w:cstheme="majorBidi"/>
          <w:sz w:val="24"/>
          <w:szCs w:val="24"/>
        </w:rPr>
        <w:t xml:space="preserve">  (Predictive Analytics </w:t>
      </w:r>
      <w:r w:rsidR="0046747F" w:rsidRPr="002D0908">
        <w:rPr>
          <w:rFonts w:asciiTheme="majorBidi" w:hAnsiTheme="majorBidi" w:cstheme="majorBidi"/>
          <w:sz w:val="24"/>
          <w:szCs w:val="24"/>
        </w:rPr>
        <w:t>Software</w:t>
      </w:r>
      <w:r w:rsidR="00BF2D83" w:rsidRPr="002D0908">
        <w:rPr>
          <w:rFonts w:asciiTheme="majorBidi" w:hAnsiTheme="majorBidi" w:cstheme="majorBidi"/>
          <w:sz w:val="24"/>
          <w:szCs w:val="24"/>
        </w:rPr>
        <w:t>) for Windows.</w:t>
      </w:r>
    </w:p>
    <w:p w:rsidR="00094DE6" w:rsidRDefault="00BF2D83" w:rsidP="00094DE6">
      <w:pPr>
        <w:bidi w:val="0"/>
        <w:spacing w:after="0" w:line="360" w:lineRule="auto"/>
        <w:jc w:val="both"/>
        <w:rPr>
          <w:rFonts w:asciiTheme="majorBidi" w:hAnsiTheme="majorBidi" w:cstheme="majorBidi"/>
          <w:b/>
          <w:bCs/>
          <w:sz w:val="24"/>
          <w:szCs w:val="24"/>
        </w:rPr>
      </w:pPr>
      <w:r w:rsidRPr="002D0908">
        <w:rPr>
          <w:rFonts w:asciiTheme="majorBidi" w:hAnsiTheme="majorBidi" w:cstheme="majorBidi"/>
          <w:b/>
          <w:bCs/>
          <w:sz w:val="24"/>
          <w:szCs w:val="24"/>
        </w:rPr>
        <w:t>Results</w:t>
      </w:r>
    </w:p>
    <w:p w:rsidR="00BF2D83" w:rsidRPr="00094DE6" w:rsidRDefault="00BF2D83" w:rsidP="00094DE6">
      <w:pPr>
        <w:bidi w:val="0"/>
        <w:spacing w:after="0" w:line="360" w:lineRule="auto"/>
        <w:jc w:val="both"/>
        <w:rPr>
          <w:rFonts w:asciiTheme="majorBidi" w:hAnsiTheme="majorBidi" w:cstheme="majorBidi"/>
          <w:b/>
          <w:bCs/>
          <w:sz w:val="24"/>
          <w:szCs w:val="24"/>
        </w:rPr>
      </w:pPr>
      <w:r w:rsidRPr="002D0908">
        <w:rPr>
          <w:rFonts w:asciiTheme="majorBidi" w:hAnsiTheme="majorBidi" w:cstheme="majorBidi"/>
          <w:b/>
          <w:bCs/>
          <w:i/>
          <w:iCs/>
          <w:sz w:val="24"/>
          <w:szCs w:val="24"/>
        </w:rPr>
        <w:t xml:space="preserve"> </w:t>
      </w:r>
      <w:r w:rsidR="00094DE6" w:rsidRPr="002D0908">
        <w:rPr>
          <w:rFonts w:asciiTheme="majorBidi" w:hAnsiTheme="majorBidi" w:cstheme="majorBidi"/>
          <w:b/>
          <w:bCs/>
          <w:i/>
          <w:iCs/>
          <w:sz w:val="24"/>
          <w:szCs w:val="24"/>
        </w:rPr>
        <w:t>Bone</w:t>
      </w:r>
      <w:r w:rsidRPr="002D0908">
        <w:rPr>
          <w:rFonts w:asciiTheme="majorBidi" w:hAnsiTheme="majorBidi" w:cstheme="majorBidi"/>
          <w:b/>
          <w:bCs/>
          <w:i/>
          <w:iCs/>
          <w:sz w:val="24"/>
          <w:szCs w:val="24"/>
        </w:rPr>
        <w:t xml:space="preserve"> height</w:t>
      </w:r>
      <w:r w:rsidRPr="002D0908">
        <w:rPr>
          <w:rFonts w:asciiTheme="majorBidi" w:hAnsiTheme="majorBidi" w:cstheme="majorBidi"/>
          <w:sz w:val="24"/>
          <w:szCs w:val="24"/>
        </w:rPr>
        <w:t xml:space="preserve"> </w:t>
      </w:r>
    </w:p>
    <w:p w:rsidR="00BF2D83" w:rsidRPr="002D0908" w:rsidRDefault="00094DE6" w:rsidP="00094DE6">
      <w:pPr>
        <w:bidi w:val="0"/>
        <w:spacing w:after="0" w:line="360" w:lineRule="auto"/>
        <w:jc w:val="both"/>
        <w:rPr>
          <w:rFonts w:asciiTheme="majorBidi" w:hAnsiTheme="majorBidi" w:cstheme="majorBidi"/>
          <w:sz w:val="24"/>
          <w:szCs w:val="24"/>
        </w:rPr>
      </w:pPr>
      <w:r>
        <w:rPr>
          <w:rFonts w:asciiTheme="majorBidi" w:hAnsiTheme="majorBidi" w:cstheme="majorBidi"/>
          <w:sz w:val="24"/>
          <w:szCs w:val="24"/>
        </w:rPr>
        <w:t>Regarding</w:t>
      </w:r>
      <w:r w:rsidR="00BF2D83" w:rsidRPr="002D0908">
        <w:rPr>
          <w:rFonts w:asciiTheme="majorBidi" w:hAnsiTheme="majorBidi" w:cstheme="majorBidi"/>
          <w:sz w:val="24"/>
          <w:szCs w:val="24"/>
        </w:rPr>
        <w:t xml:space="preserve"> bone height around implants, results revealed that there was no statistically significant difference between bone height measurements in the two groups, immediately and after 6 months (</w:t>
      </w:r>
      <w:r w:rsidR="00BF2D83" w:rsidRPr="002D0908">
        <w:rPr>
          <w:rFonts w:asciiTheme="majorBidi" w:hAnsiTheme="majorBidi" w:cstheme="majorBidi"/>
          <w:i/>
          <w:iCs/>
          <w:sz w:val="24"/>
          <w:szCs w:val="24"/>
        </w:rPr>
        <w:t>P</w:t>
      </w:r>
      <w:r w:rsidR="00244682" w:rsidRPr="002D0908">
        <w:rPr>
          <w:rFonts w:asciiTheme="majorBidi" w:hAnsiTheme="majorBidi" w:cstheme="majorBidi"/>
          <w:sz w:val="24"/>
          <w:szCs w:val="24"/>
        </w:rPr>
        <w:t>-value = 0.075 and 0.112</w:t>
      </w:r>
      <w:r w:rsidR="00BF2D83" w:rsidRPr="002D0908">
        <w:rPr>
          <w:rFonts w:asciiTheme="majorBidi" w:hAnsiTheme="majorBidi" w:cstheme="majorBidi"/>
          <w:sz w:val="24"/>
          <w:szCs w:val="24"/>
        </w:rPr>
        <w:t>, respec</w:t>
      </w:r>
      <w:r w:rsidR="00244682" w:rsidRPr="002D0908">
        <w:rPr>
          <w:rFonts w:asciiTheme="majorBidi" w:hAnsiTheme="majorBidi" w:cstheme="majorBidi"/>
          <w:sz w:val="24"/>
          <w:szCs w:val="24"/>
        </w:rPr>
        <w:t>tively). Regarding</w:t>
      </w:r>
      <w:r w:rsidR="00BF2D83" w:rsidRPr="002D0908">
        <w:rPr>
          <w:rFonts w:asciiTheme="majorBidi" w:hAnsiTheme="majorBidi" w:cstheme="majorBidi"/>
          <w:sz w:val="24"/>
          <w:szCs w:val="24"/>
        </w:rPr>
        <w:t xml:space="preserve"> </w:t>
      </w:r>
      <w:r>
        <w:rPr>
          <w:rFonts w:asciiTheme="majorBidi" w:hAnsiTheme="majorBidi" w:cstheme="majorBidi"/>
          <w:sz w:val="24"/>
          <w:szCs w:val="24"/>
        </w:rPr>
        <w:t>percentage</w:t>
      </w:r>
      <w:r w:rsidR="00BF2D83" w:rsidRPr="002D0908">
        <w:rPr>
          <w:rFonts w:asciiTheme="majorBidi" w:hAnsiTheme="majorBidi" w:cstheme="majorBidi"/>
          <w:sz w:val="24"/>
          <w:szCs w:val="24"/>
        </w:rPr>
        <w:t xml:space="preserve"> of bone loss, non-rigid gr</w:t>
      </w:r>
      <w:r>
        <w:rPr>
          <w:rFonts w:asciiTheme="majorBidi" w:hAnsiTheme="majorBidi" w:cstheme="majorBidi"/>
          <w:sz w:val="24"/>
          <w:szCs w:val="24"/>
        </w:rPr>
        <w:t>oup showed significantly higher</w:t>
      </w:r>
      <w:r w:rsidR="00BF2D83" w:rsidRPr="002D0908">
        <w:rPr>
          <w:rFonts w:asciiTheme="majorBidi" w:hAnsiTheme="majorBidi" w:cstheme="majorBidi"/>
          <w:sz w:val="24"/>
          <w:szCs w:val="24"/>
        </w:rPr>
        <w:t xml:space="preserve"> bone loss tha</w:t>
      </w:r>
      <w:r w:rsidR="00244682" w:rsidRPr="002D0908">
        <w:rPr>
          <w:rFonts w:asciiTheme="majorBidi" w:hAnsiTheme="majorBidi" w:cstheme="majorBidi"/>
          <w:sz w:val="24"/>
          <w:szCs w:val="24"/>
        </w:rPr>
        <w:t xml:space="preserve">n </w:t>
      </w:r>
      <w:r w:rsidR="00244682" w:rsidRPr="002D0908">
        <w:rPr>
          <w:rFonts w:asciiTheme="majorBidi" w:hAnsiTheme="majorBidi" w:cstheme="majorBidi"/>
          <w:sz w:val="24"/>
          <w:szCs w:val="24"/>
        </w:rPr>
        <w:lastRenderedPageBreak/>
        <w:t>rigid group (6.5±1.2 and 2±0.5</w:t>
      </w:r>
      <w:r w:rsidR="00BF2D83" w:rsidRPr="002D0908">
        <w:rPr>
          <w:rFonts w:asciiTheme="majorBidi" w:hAnsiTheme="majorBidi" w:cstheme="majorBidi"/>
          <w:sz w:val="24"/>
          <w:szCs w:val="24"/>
        </w:rPr>
        <w:t>, respectively), yet it was statistically non significant</w:t>
      </w:r>
      <w:r w:rsidR="00244682" w:rsidRPr="002D0908">
        <w:rPr>
          <w:rFonts w:asciiTheme="majorBidi" w:hAnsiTheme="majorBidi" w:cstheme="majorBidi"/>
          <w:sz w:val="24"/>
          <w:szCs w:val="24"/>
        </w:rPr>
        <w:t xml:space="preserve"> (</w:t>
      </w:r>
      <w:r w:rsidR="00244682" w:rsidRPr="002D0908">
        <w:rPr>
          <w:rFonts w:asciiTheme="majorBidi" w:hAnsiTheme="majorBidi" w:cstheme="majorBidi"/>
          <w:i/>
          <w:iCs/>
          <w:sz w:val="24"/>
          <w:szCs w:val="24"/>
        </w:rPr>
        <w:t>P</w:t>
      </w:r>
      <w:r w:rsidR="00244682" w:rsidRPr="002D0908">
        <w:rPr>
          <w:rFonts w:asciiTheme="majorBidi" w:hAnsiTheme="majorBidi" w:cstheme="majorBidi"/>
          <w:sz w:val="24"/>
          <w:szCs w:val="24"/>
        </w:rPr>
        <w:t>-value =0.087)</w:t>
      </w:r>
      <w:r w:rsidR="00BF2D83" w:rsidRPr="002D0908">
        <w:rPr>
          <w:rFonts w:asciiTheme="majorBidi" w:hAnsiTheme="majorBidi" w:cstheme="majorBidi"/>
          <w:sz w:val="24"/>
          <w:szCs w:val="24"/>
        </w:rPr>
        <w:t>.</w:t>
      </w:r>
    </w:p>
    <w:p w:rsidR="00094DE6" w:rsidRDefault="00094DE6" w:rsidP="00094DE6">
      <w:pPr>
        <w:bidi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Regarding </w:t>
      </w:r>
      <w:r w:rsidR="00BF2D83" w:rsidRPr="002D0908">
        <w:rPr>
          <w:rFonts w:asciiTheme="majorBidi" w:hAnsiTheme="majorBidi" w:cstheme="majorBidi"/>
          <w:sz w:val="24"/>
          <w:szCs w:val="24"/>
        </w:rPr>
        <w:t>bone height around natural abutments, results revealed that there was no statistically significant difference between bone height measurements in the two groups immediately and after 6 months (</w:t>
      </w:r>
      <w:r w:rsidR="00BF2D83" w:rsidRPr="002D0908">
        <w:rPr>
          <w:rFonts w:asciiTheme="majorBidi" w:hAnsiTheme="majorBidi" w:cstheme="majorBidi"/>
          <w:i/>
          <w:iCs/>
          <w:sz w:val="24"/>
          <w:szCs w:val="24"/>
        </w:rPr>
        <w:t>P</w:t>
      </w:r>
      <w:r w:rsidR="00BF2D83" w:rsidRPr="002D0908">
        <w:rPr>
          <w:rFonts w:asciiTheme="majorBidi" w:hAnsiTheme="majorBidi" w:cstheme="majorBidi"/>
          <w:sz w:val="24"/>
          <w:szCs w:val="24"/>
        </w:rPr>
        <w:t>-value = 0.055 and 0.051, respect</w:t>
      </w:r>
      <w:r w:rsidR="00244682" w:rsidRPr="002D0908">
        <w:rPr>
          <w:rFonts w:asciiTheme="majorBidi" w:hAnsiTheme="majorBidi" w:cstheme="majorBidi"/>
          <w:sz w:val="24"/>
          <w:szCs w:val="24"/>
        </w:rPr>
        <w:t xml:space="preserve">ively). Regarding </w:t>
      </w:r>
      <w:r>
        <w:rPr>
          <w:rFonts w:asciiTheme="majorBidi" w:hAnsiTheme="majorBidi" w:cstheme="majorBidi"/>
          <w:sz w:val="24"/>
          <w:szCs w:val="24"/>
        </w:rPr>
        <w:t>percentage</w:t>
      </w:r>
      <w:r w:rsidRPr="002D0908">
        <w:rPr>
          <w:rFonts w:asciiTheme="majorBidi" w:hAnsiTheme="majorBidi" w:cstheme="majorBidi"/>
          <w:sz w:val="24"/>
          <w:szCs w:val="24"/>
        </w:rPr>
        <w:t xml:space="preserve"> </w:t>
      </w:r>
      <w:r w:rsidR="00BF2D83" w:rsidRPr="002D0908">
        <w:rPr>
          <w:rFonts w:asciiTheme="majorBidi" w:hAnsiTheme="majorBidi" w:cstheme="majorBidi"/>
          <w:sz w:val="24"/>
          <w:szCs w:val="24"/>
        </w:rPr>
        <w:t>of bone loss, rigid group showed statistically significantly higher mean bone loss than non-rigid group</w:t>
      </w:r>
      <w:r w:rsidR="00246867" w:rsidRPr="002D0908">
        <w:rPr>
          <w:rFonts w:asciiTheme="majorBidi" w:hAnsiTheme="majorBidi" w:cstheme="majorBidi"/>
          <w:sz w:val="24"/>
          <w:szCs w:val="24"/>
        </w:rPr>
        <w:t xml:space="preserve"> which showed bone deposition (</w:t>
      </w:r>
      <w:r w:rsidR="00244682" w:rsidRPr="002D0908">
        <w:rPr>
          <w:rFonts w:asciiTheme="majorBidi" w:hAnsiTheme="majorBidi" w:cstheme="majorBidi"/>
          <w:sz w:val="24"/>
          <w:szCs w:val="24"/>
        </w:rPr>
        <w:t>-8.1±1.6 and 9.2±2</w:t>
      </w:r>
      <w:r w:rsidR="00BF2D83" w:rsidRPr="002D0908">
        <w:rPr>
          <w:rFonts w:asciiTheme="majorBidi" w:hAnsiTheme="majorBidi" w:cstheme="majorBidi"/>
          <w:sz w:val="24"/>
          <w:szCs w:val="24"/>
        </w:rPr>
        <w:t>, respectively</w:t>
      </w:r>
      <w:r w:rsidR="0046747F" w:rsidRPr="002D0908">
        <w:rPr>
          <w:rFonts w:asciiTheme="majorBidi" w:hAnsiTheme="majorBidi" w:cstheme="majorBidi"/>
          <w:sz w:val="24"/>
          <w:szCs w:val="24"/>
        </w:rPr>
        <w:t>, P</w:t>
      </w:r>
      <w:r w:rsidR="00244682" w:rsidRPr="002D0908">
        <w:rPr>
          <w:rFonts w:asciiTheme="majorBidi" w:hAnsiTheme="majorBidi" w:cstheme="majorBidi"/>
          <w:sz w:val="24"/>
          <w:szCs w:val="24"/>
        </w:rPr>
        <w:t>-value =0.01</w:t>
      </w:r>
      <w:r w:rsidR="00BF2D83" w:rsidRPr="002D0908">
        <w:rPr>
          <w:rFonts w:asciiTheme="majorBidi" w:hAnsiTheme="majorBidi" w:cstheme="majorBidi"/>
          <w:sz w:val="24"/>
          <w:szCs w:val="24"/>
        </w:rPr>
        <w:t>).</w:t>
      </w:r>
    </w:p>
    <w:p w:rsidR="00BF2D83" w:rsidRPr="00094DE6" w:rsidRDefault="00BF2D83" w:rsidP="00094DE6">
      <w:pPr>
        <w:bidi w:val="0"/>
        <w:spacing w:after="0" w:line="360" w:lineRule="auto"/>
        <w:jc w:val="both"/>
        <w:rPr>
          <w:rFonts w:asciiTheme="majorBidi" w:hAnsiTheme="majorBidi" w:cstheme="majorBidi"/>
          <w:sz w:val="24"/>
          <w:szCs w:val="24"/>
        </w:rPr>
      </w:pPr>
      <w:r w:rsidRPr="002D0908">
        <w:rPr>
          <w:rFonts w:asciiTheme="majorBidi" w:hAnsiTheme="majorBidi" w:cstheme="majorBidi"/>
          <w:b/>
          <w:bCs/>
          <w:i/>
          <w:iCs/>
          <w:color w:val="000000"/>
          <w:sz w:val="24"/>
          <w:szCs w:val="24"/>
        </w:rPr>
        <w:t xml:space="preserve"> </w:t>
      </w:r>
      <w:r w:rsidR="00094DE6" w:rsidRPr="002D0908">
        <w:rPr>
          <w:rFonts w:asciiTheme="majorBidi" w:hAnsiTheme="majorBidi" w:cstheme="majorBidi"/>
          <w:b/>
          <w:bCs/>
          <w:i/>
          <w:iCs/>
          <w:color w:val="000000"/>
          <w:sz w:val="24"/>
          <w:szCs w:val="24"/>
        </w:rPr>
        <w:t>Density</w:t>
      </w:r>
      <w:r w:rsidRPr="002D0908">
        <w:rPr>
          <w:rFonts w:asciiTheme="majorBidi" w:hAnsiTheme="majorBidi" w:cstheme="majorBidi"/>
          <w:b/>
          <w:bCs/>
          <w:i/>
          <w:iCs/>
          <w:color w:val="000000"/>
          <w:sz w:val="24"/>
          <w:szCs w:val="24"/>
        </w:rPr>
        <w:t xml:space="preserve"> profile</w:t>
      </w:r>
    </w:p>
    <w:p w:rsidR="00BF2D83" w:rsidRPr="002D0908" w:rsidRDefault="00BF2D83" w:rsidP="00094DE6">
      <w:pPr>
        <w:bidi w:val="0"/>
        <w:spacing w:after="0" w:line="360" w:lineRule="auto"/>
        <w:jc w:val="both"/>
        <w:rPr>
          <w:rFonts w:asciiTheme="majorBidi" w:hAnsiTheme="majorBidi" w:cstheme="majorBidi"/>
          <w:color w:val="000000"/>
          <w:sz w:val="24"/>
          <w:szCs w:val="24"/>
          <w:lang w:bidi="ar-EG"/>
        </w:rPr>
      </w:pPr>
      <w:r w:rsidRPr="002D0908">
        <w:rPr>
          <w:rFonts w:asciiTheme="majorBidi" w:hAnsiTheme="majorBidi" w:cstheme="majorBidi"/>
          <w:color w:val="000000"/>
          <w:sz w:val="24"/>
          <w:szCs w:val="24"/>
          <w:lang w:bidi="ar-EG"/>
        </w:rPr>
        <w:t xml:space="preserve">Regarding density profile around implants, results revealed that </w:t>
      </w:r>
      <w:r w:rsidR="0046747F" w:rsidRPr="002D0908">
        <w:rPr>
          <w:rFonts w:asciiTheme="majorBidi" w:hAnsiTheme="majorBidi" w:cstheme="majorBidi"/>
          <w:sz w:val="24"/>
          <w:szCs w:val="24"/>
        </w:rPr>
        <w:t>non-rigid</w:t>
      </w:r>
      <w:r w:rsidRPr="002D0908">
        <w:rPr>
          <w:rFonts w:asciiTheme="majorBidi" w:hAnsiTheme="majorBidi" w:cstheme="majorBidi"/>
          <w:sz w:val="24"/>
          <w:szCs w:val="24"/>
        </w:rPr>
        <w:t xml:space="preserve"> group showed statistically significantly higher mean density profile than rigid group immediately and after 6 months (</w:t>
      </w:r>
      <w:r w:rsidRPr="002D0908">
        <w:rPr>
          <w:rFonts w:asciiTheme="majorBidi" w:hAnsiTheme="majorBidi" w:cstheme="majorBidi"/>
          <w:i/>
          <w:iCs/>
          <w:sz w:val="24"/>
          <w:szCs w:val="24"/>
        </w:rPr>
        <w:t>P</w:t>
      </w:r>
      <w:r w:rsidR="00244682" w:rsidRPr="002D0908">
        <w:rPr>
          <w:rFonts w:asciiTheme="majorBidi" w:hAnsiTheme="majorBidi" w:cstheme="majorBidi"/>
          <w:sz w:val="24"/>
          <w:szCs w:val="24"/>
        </w:rPr>
        <w:t>-value = 0.021</w:t>
      </w:r>
      <w:r w:rsidRPr="002D0908">
        <w:rPr>
          <w:rFonts w:asciiTheme="majorBidi" w:hAnsiTheme="majorBidi" w:cstheme="majorBidi"/>
          <w:sz w:val="24"/>
          <w:szCs w:val="24"/>
        </w:rPr>
        <w:t xml:space="preserve"> and 0.050, respectively). </w:t>
      </w:r>
      <w:r w:rsidRPr="002D0908">
        <w:rPr>
          <w:rFonts w:asciiTheme="majorBidi" w:hAnsiTheme="majorBidi" w:cstheme="majorBidi"/>
          <w:color w:val="000000"/>
          <w:sz w:val="24"/>
          <w:szCs w:val="24"/>
          <w:lang w:bidi="ar-EG"/>
        </w:rPr>
        <w:t>Regarding</w:t>
      </w:r>
      <w:r w:rsidRPr="002D0908">
        <w:rPr>
          <w:rFonts w:asciiTheme="majorBidi" w:hAnsiTheme="majorBidi" w:cstheme="majorBidi"/>
          <w:sz w:val="24"/>
          <w:szCs w:val="24"/>
        </w:rPr>
        <w:t xml:space="preserve"> </w:t>
      </w:r>
      <w:r w:rsidR="00094DE6">
        <w:rPr>
          <w:rFonts w:asciiTheme="majorBidi" w:hAnsiTheme="majorBidi" w:cstheme="majorBidi"/>
          <w:sz w:val="24"/>
          <w:szCs w:val="24"/>
        </w:rPr>
        <w:t>percentage</w:t>
      </w:r>
      <w:r w:rsidR="00094DE6" w:rsidRPr="002D0908">
        <w:rPr>
          <w:rFonts w:asciiTheme="majorBidi" w:hAnsiTheme="majorBidi" w:cstheme="majorBidi"/>
          <w:sz w:val="24"/>
          <w:szCs w:val="24"/>
        </w:rPr>
        <w:t xml:space="preserve"> </w:t>
      </w:r>
      <w:r w:rsidR="00094DE6">
        <w:rPr>
          <w:rFonts w:asciiTheme="majorBidi" w:hAnsiTheme="majorBidi" w:cstheme="majorBidi"/>
          <w:sz w:val="24"/>
          <w:szCs w:val="24"/>
        </w:rPr>
        <w:t xml:space="preserve">of </w:t>
      </w:r>
      <w:r w:rsidRPr="002D0908">
        <w:rPr>
          <w:rFonts w:asciiTheme="majorBidi" w:hAnsiTheme="majorBidi" w:cstheme="majorBidi"/>
          <w:sz w:val="24"/>
          <w:szCs w:val="24"/>
        </w:rPr>
        <w:t xml:space="preserve">change in density profile, non-rigid group showed statistically significantly </w:t>
      </w:r>
      <w:r w:rsidR="00094DE6">
        <w:rPr>
          <w:rFonts w:asciiTheme="majorBidi" w:hAnsiTheme="majorBidi" w:cstheme="majorBidi"/>
          <w:sz w:val="24"/>
          <w:szCs w:val="24"/>
        </w:rPr>
        <w:t>more</w:t>
      </w:r>
      <w:r w:rsidRPr="002D0908">
        <w:rPr>
          <w:rFonts w:asciiTheme="majorBidi" w:hAnsiTheme="majorBidi" w:cstheme="majorBidi"/>
          <w:sz w:val="24"/>
          <w:szCs w:val="24"/>
        </w:rPr>
        <w:t xml:space="preserve"> decrease in density profile </w:t>
      </w:r>
      <w:r w:rsidR="005A199A" w:rsidRPr="002D0908">
        <w:rPr>
          <w:rFonts w:asciiTheme="majorBidi" w:hAnsiTheme="majorBidi" w:cstheme="majorBidi"/>
          <w:sz w:val="24"/>
          <w:szCs w:val="24"/>
        </w:rPr>
        <w:t>than rigid</w:t>
      </w:r>
      <w:r w:rsidRPr="002D0908">
        <w:rPr>
          <w:rFonts w:asciiTheme="majorBidi" w:hAnsiTheme="majorBidi" w:cstheme="majorBidi"/>
          <w:sz w:val="24"/>
          <w:szCs w:val="24"/>
        </w:rPr>
        <w:t xml:space="preserve"> group (-322±</w:t>
      </w:r>
      <w:r w:rsidR="00244682" w:rsidRPr="002D0908">
        <w:rPr>
          <w:rFonts w:asciiTheme="majorBidi" w:hAnsiTheme="majorBidi" w:cstheme="majorBidi"/>
          <w:color w:val="000000"/>
          <w:sz w:val="24"/>
          <w:szCs w:val="24"/>
        </w:rPr>
        <w:t>75.3</w:t>
      </w:r>
      <w:r w:rsidRPr="002D0908">
        <w:rPr>
          <w:rFonts w:asciiTheme="majorBidi" w:hAnsiTheme="majorBidi" w:cstheme="majorBidi"/>
          <w:sz w:val="24"/>
          <w:szCs w:val="24"/>
        </w:rPr>
        <w:t xml:space="preserve"> and -95.3±</w:t>
      </w:r>
      <w:r w:rsidR="00244682" w:rsidRPr="002D0908">
        <w:rPr>
          <w:rFonts w:asciiTheme="majorBidi" w:hAnsiTheme="majorBidi" w:cstheme="majorBidi"/>
          <w:color w:val="000000"/>
          <w:sz w:val="24"/>
          <w:szCs w:val="24"/>
        </w:rPr>
        <w:t>21.6</w:t>
      </w:r>
      <w:r w:rsidRPr="002D0908">
        <w:rPr>
          <w:rFonts w:asciiTheme="majorBidi" w:hAnsiTheme="majorBidi" w:cstheme="majorBidi"/>
          <w:sz w:val="24"/>
          <w:szCs w:val="24"/>
        </w:rPr>
        <w:t xml:space="preserve"> respectively) (</w:t>
      </w:r>
      <w:r w:rsidRPr="002D0908">
        <w:rPr>
          <w:rFonts w:asciiTheme="majorBidi" w:hAnsiTheme="majorBidi" w:cstheme="majorBidi"/>
          <w:i/>
          <w:iCs/>
          <w:sz w:val="24"/>
          <w:szCs w:val="24"/>
        </w:rPr>
        <w:t>P</w:t>
      </w:r>
      <w:r w:rsidR="00244682" w:rsidRPr="002D0908">
        <w:rPr>
          <w:rFonts w:asciiTheme="majorBidi" w:hAnsiTheme="majorBidi" w:cstheme="majorBidi"/>
          <w:sz w:val="24"/>
          <w:szCs w:val="24"/>
        </w:rPr>
        <w:t>-value &lt;</w:t>
      </w:r>
      <w:r w:rsidRPr="002D0908">
        <w:rPr>
          <w:rFonts w:asciiTheme="majorBidi" w:hAnsiTheme="majorBidi" w:cstheme="majorBidi"/>
          <w:sz w:val="24"/>
          <w:szCs w:val="24"/>
        </w:rPr>
        <w:t xml:space="preserve"> 0.001).</w:t>
      </w:r>
    </w:p>
    <w:p w:rsidR="00246867" w:rsidRPr="002D0908" w:rsidRDefault="00094DE6" w:rsidP="00094DE6">
      <w:pPr>
        <w:bidi w:val="0"/>
        <w:spacing w:after="0" w:line="360" w:lineRule="auto"/>
        <w:ind w:right="-64"/>
        <w:jc w:val="both"/>
        <w:rPr>
          <w:rFonts w:asciiTheme="majorBidi" w:hAnsiTheme="majorBidi" w:cstheme="majorBidi"/>
          <w:color w:val="000000"/>
          <w:sz w:val="24"/>
          <w:szCs w:val="24"/>
          <w:lang w:bidi="ar-EG"/>
        </w:rPr>
      </w:pPr>
      <w:r>
        <w:rPr>
          <w:rFonts w:asciiTheme="majorBidi" w:hAnsiTheme="majorBidi" w:cstheme="majorBidi"/>
          <w:color w:val="000000"/>
          <w:sz w:val="24"/>
          <w:szCs w:val="24"/>
        </w:rPr>
        <w:t xml:space="preserve">Regarding </w:t>
      </w:r>
      <w:r w:rsidR="00BF2D83" w:rsidRPr="002D0908">
        <w:rPr>
          <w:rFonts w:asciiTheme="majorBidi" w:hAnsiTheme="majorBidi" w:cstheme="majorBidi"/>
          <w:color w:val="000000"/>
          <w:sz w:val="24"/>
          <w:szCs w:val="24"/>
        </w:rPr>
        <w:t>density profile around natural teeth abutments, results revealed that t</w:t>
      </w:r>
      <w:r w:rsidR="00BF2D83" w:rsidRPr="002D0908">
        <w:rPr>
          <w:rFonts w:asciiTheme="majorBidi" w:hAnsiTheme="majorBidi" w:cstheme="majorBidi"/>
          <w:sz w:val="24"/>
          <w:szCs w:val="24"/>
        </w:rPr>
        <w:t>here was no statistically significant difference between density profile measurements in the two groups immediately and after 6 months (</w:t>
      </w:r>
      <w:r w:rsidR="00BF2D83" w:rsidRPr="002D0908">
        <w:rPr>
          <w:rFonts w:asciiTheme="majorBidi" w:hAnsiTheme="majorBidi" w:cstheme="majorBidi"/>
          <w:i/>
          <w:iCs/>
          <w:sz w:val="24"/>
          <w:szCs w:val="24"/>
        </w:rPr>
        <w:t>P-</w:t>
      </w:r>
      <w:r w:rsidR="00244682" w:rsidRPr="002D0908">
        <w:rPr>
          <w:rFonts w:asciiTheme="majorBidi" w:hAnsiTheme="majorBidi" w:cstheme="majorBidi"/>
          <w:sz w:val="24"/>
          <w:szCs w:val="24"/>
        </w:rPr>
        <w:t>value = 0.095 and 0.001</w:t>
      </w:r>
      <w:r w:rsidR="00BF2D83" w:rsidRPr="002D0908">
        <w:rPr>
          <w:rFonts w:asciiTheme="majorBidi" w:hAnsiTheme="majorBidi" w:cstheme="majorBidi"/>
          <w:sz w:val="24"/>
          <w:szCs w:val="24"/>
        </w:rPr>
        <w:t xml:space="preserve"> respectively).</w:t>
      </w:r>
      <w:r w:rsidR="00BF2D83" w:rsidRPr="002D0908">
        <w:rPr>
          <w:rFonts w:asciiTheme="majorBidi" w:hAnsiTheme="majorBidi" w:cstheme="majorBidi"/>
          <w:color w:val="000000"/>
          <w:sz w:val="24"/>
          <w:szCs w:val="24"/>
          <w:lang w:bidi="ar-EG"/>
        </w:rPr>
        <w:t xml:space="preserve"> Regarding </w:t>
      </w:r>
      <w:r w:rsidR="00BF2D83" w:rsidRPr="002D0908">
        <w:rPr>
          <w:rFonts w:asciiTheme="majorBidi" w:hAnsiTheme="majorBidi" w:cstheme="majorBidi"/>
          <w:sz w:val="24"/>
          <w:szCs w:val="24"/>
        </w:rPr>
        <w:t xml:space="preserve"> </w:t>
      </w:r>
      <w:r>
        <w:rPr>
          <w:rFonts w:asciiTheme="majorBidi" w:hAnsiTheme="majorBidi" w:cstheme="majorBidi"/>
          <w:sz w:val="24"/>
          <w:szCs w:val="24"/>
        </w:rPr>
        <w:t>percentage</w:t>
      </w:r>
      <w:r w:rsidRPr="002D0908">
        <w:rPr>
          <w:rFonts w:asciiTheme="majorBidi" w:hAnsiTheme="majorBidi" w:cstheme="majorBidi"/>
          <w:sz w:val="24"/>
          <w:szCs w:val="24"/>
        </w:rPr>
        <w:t xml:space="preserve"> </w:t>
      </w:r>
      <w:r>
        <w:rPr>
          <w:rFonts w:asciiTheme="majorBidi" w:hAnsiTheme="majorBidi" w:cstheme="majorBidi"/>
          <w:sz w:val="24"/>
          <w:szCs w:val="24"/>
        </w:rPr>
        <w:t xml:space="preserve">of </w:t>
      </w:r>
      <w:r w:rsidR="00BF2D83" w:rsidRPr="002D0908">
        <w:rPr>
          <w:rFonts w:asciiTheme="majorBidi" w:hAnsiTheme="majorBidi" w:cstheme="majorBidi"/>
          <w:sz w:val="24"/>
          <w:szCs w:val="24"/>
        </w:rPr>
        <w:t>change in density profile, rigid group showed statistically significantly higher mean % decrease in density profile than non-rigid group which sh</w:t>
      </w:r>
      <w:r w:rsidR="00244682" w:rsidRPr="002D0908">
        <w:rPr>
          <w:rFonts w:asciiTheme="majorBidi" w:hAnsiTheme="majorBidi" w:cstheme="majorBidi"/>
          <w:sz w:val="24"/>
          <w:szCs w:val="24"/>
        </w:rPr>
        <w:t xml:space="preserve">owed </w:t>
      </w:r>
      <w:r w:rsidR="00BF2D83" w:rsidRPr="002D0908">
        <w:rPr>
          <w:rFonts w:asciiTheme="majorBidi" w:hAnsiTheme="majorBidi" w:cstheme="majorBidi"/>
          <w:sz w:val="24"/>
          <w:szCs w:val="24"/>
        </w:rPr>
        <w:t>an increase in density</w:t>
      </w:r>
      <w:r w:rsidR="00244682" w:rsidRPr="002D0908">
        <w:rPr>
          <w:rFonts w:asciiTheme="majorBidi" w:hAnsiTheme="majorBidi" w:cstheme="majorBidi"/>
          <w:sz w:val="24"/>
          <w:szCs w:val="24"/>
        </w:rPr>
        <w:t xml:space="preserve"> profile (-12.2±3.5 and 7.3±2.5 </w:t>
      </w:r>
      <w:r w:rsidR="00BF2D83" w:rsidRPr="002D0908">
        <w:rPr>
          <w:rFonts w:asciiTheme="majorBidi" w:hAnsiTheme="majorBidi" w:cstheme="majorBidi"/>
          <w:sz w:val="24"/>
          <w:szCs w:val="24"/>
        </w:rPr>
        <w:t xml:space="preserve"> respectively, </w:t>
      </w:r>
      <w:r w:rsidR="00BF2D83" w:rsidRPr="002D0908">
        <w:rPr>
          <w:rFonts w:asciiTheme="majorBidi" w:hAnsiTheme="majorBidi" w:cstheme="majorBidi"/>
          <w:i/>
          <w:iCs/>
          <w:sz w:val="24"/>
          <w:szCs w:val="24"/>
        </w:rPr>
        <w:t>P</w:t>
      </w:r>
      <w:r w:rsidR="00244682" w:rsidRPr="002D0908">
        <w:rPr>
          <w:rFonts w:asciiTheme="majorBidi" w:hAnsiTheme="majorBidi" w:cstheme="majorBidi"/>
          <w:sz w:val="24"/>
          <w:szCs w:val="24"/>
        </w:rPr>
        <w:t>-value = 0.006</w:t>
      </w:r>
      <w:r w:rsidR="00BF2D83" w:rsidRPr="002D0908">
        <w:rPr>
          <w:rFonts w:asciiTheme="majorBidi" w:hAnsiTheme="majorBidi" w:cstheme="majorBidi"/>
          <w:sz w:val="24"/>
          <w:szCs w:val="24"/>
        </w:rPr>
        <w:t>).</w:t>
      </w:r>
    </w:p>
    <w:p w:rsidR="00BF2D83" w:rsidRPr="002D0908" w:rsidRDefault="00BF2D83" w:rsidP="00D87ACB">
      <w:pPr>
        <w:bidi w:val="0"/>
        <w:spacing w:after="0" w:line="360" w:lineRule="auto"/>
        <w:ind w:left="90" w:right="-64"/>
        <w:jc w:val="both"/>
        <w:rPr>
          <w:rFonts w:asciiTheme="majorBidi" w:hAnsiTheme="majorBidi" w:cstheme="majorBidi"/>
          <w:color w:val="000000"/>
          <w:sz w:val="24"/>
          <w:szCs w:val="24"/>
          <w:lang w:bidi="ar-EG"/>
        </w:rPr>
      </w:pPr>
      <w:r w:rsidRPr="002D0908">
        <w:rPr>
          <w:rFonts w:asciiTheme="majorBidi" w:hAnsiTheme="majorBidi" w:cstheme="majorBidi"/>
          <w:i/>
          <w:iCs/>
          <w:color w:val="000000"/>
          <w:sz w:val="24"/>
          <w:szCs w:val="24"/>
        </w:rPr>
        <w:t> </w:t>
      </w:r>
    </w:p>
    <w:p w:rsidR="00BF2D83" w:rsidRPr="002D0908" w:rsidRDefault="00BF2D83" w:rsidP="00D87ACB">
      <w:pPr>
        <w:bidi w:val="0"/>
        <w:spacing w:after="0" w:line="360" w:lineRule="auto"/>
        <w:jc w:val="both"/>
        <w:rPr>
          <w:rFonts w:asciiTheme="majorBidi" w:hAnsiTheme="majorBidi" w:cstheme="majorBidi"/>
          <w:sz w:val="24"/>
          <w:szCs w:val="24"/>
          <w:rtl/>
          <w:lang w:bidi="ar-EG"/>
        </w:rPr>
      </w:pPr>
      <w:r w:rsidRPr="002D0908">
        <w:rPr>
          <w:rFonts w:asciiTheme="majorBidi" w:hAnsiTheme="majorBidi" w:cstheme="majorBidi"/>
          <w:b/>
          <w:bCs/>
          <w:sz w:val="24"/>
          <w:szCs w:val="24"/>
          <w:lang w:bidi="ar-EG"/>
        </w:rPr>
        <w:t>Discussion</w:t>
      </w:r>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 xml:space="preserve"> </w:t>
      </w:r>
      <w:r w:rsidR="00F107B6" w:rsidRPr="002D0908">
        <w:rPr>
          <w:rFonts w:asciiTheme="majorBidi" w:hAnsiTheme="majorBidi" w:cstheme="majorBidi"/>
          <w:sz w:val="24"/>
          <w:szCs w:val="24"/>
          <w:lang w:bidi="ar-EG"/>
        </w:rPr>
        <w:tab/>
      </w:r>
      <w:r w:rsidRPr="002D0908">
        <w:rPr>
          <w:rFonts w:asciiTheme="majorBidi" w:hAnsiTheme="majorBidi" w:cstheme="majorBidi"/>
          <w:sz w:val="24"/>
          <w:szCs w:val="24"/>
          <w:lang w:bidi="ar-EG"/>
        </w:rPr>
        <w:t>Due to the dissimilar mobility between natural teeth and implant system; the connection of implants to natural teeth is a point of controversy. So based on the fact that using different connectors affects the stresses found in each component of the prosthesis and consequently on the supporting bone, this study was conducted to clinically compare the effect of using different types of connectors, in implant/tooth supported prostheses, on the quality and quantity of the supporting bone around different components of the prostheses.</w:t>
      </w:r>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 xml:space="preserve">The hypothesis of this study was partially accepted, since non-rigid connectors were found to be beneficial to bone quality around natural teeth abutments, yet they caused an increased bone </w:t>
      </w:r>
      <w:proofErr w:type="spellStart"/>
      <w:r w:rsidRPr="002D0908">
        <w:rPr>
          <w:rFonts w:asciiTheme="majorBidi" w:hAnsiTheme="majorBidi" w:cstheme="majorBidi"/>
          <w:sz w:val="24"/>
          <w:szCs w:val="24"/>
          <w:lang w:bidi="ar-EG"/>
        </w:rPr>
        <w:t>resorption</w:t>
      </w:r>
      <w:proofErr w:type="spellEnd"/>
      <w:r w:rsidRPr="002D0908">
        <w:rPr>
          <w:rFonts w:asciiTheme="majorBidi" w:hAnsiTheme="majorBidi" w:cstheme="majorBidi"/>
          <w:sz w:val="24"/>
          <w:szCs w:val="24"/>
          <w:lang w:bidi="ar-EG"/>
        </w:rPr>
        <w:t xml:space="preserve"> and a decrease in bone density around implant </w:t>
      </w:r>
      <w:r w:rsidRPr="002D0908">
        <w:rPr>
          <w:rFonts w:asciiTheme="majorBidi" w:hAnsiTheme="majorBidi" w:cstheme="majorBidi"/>
          <w:sz w:val="24"/>
          <w:szCs w:val="24"/>
          <w:lang w:bidi="ar-EG"/>
        </w:rPr>
        <w:lastRenderedPageBreak/>
        <w:t xml:space="preserve">abutments, as it might drastically affect Implant survival which is directly related to bone density. </w:t>
      </w:r>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Non-rigid connection was achieved in tooth/implant-supported prosthesis in the form of deep spoon shaped rest seat as advocated by Winston, 2010</w:t>
      </w:r>
      <w:r w:rsidR="005A199A" w:rsidRPr="002D0908">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392639205"/>
          <w:citation/>
        </w:sdtPr>
        <w:sdtContent>
          <w:r w:rsidR="001919A5" w:rsidRPr="002D0908">
            <w:rPr>
              <w:rFonts w:asciiTheme="majorBidi" w:hAnsiTheme="majorBidi" w:cstheme="majorBidi"/>
              <w:sz w:val="24"/>
              <w:szCs w:val="24"/>
              <w:lang w:bidi="ar-EG"/>
            </w:rPr>
            <w:fldChar w:fldCharType="begin"/>
          </w:r>
          <w:r w:rsidR="005A199A" w:rsidRPr="002D0908">
            <w:rPr>
              <w:rFonts w:asciiTheme="majorBidi" w:hAnsiTheme="majorBidi" w:cstheme="majorBidi"/>
              <w:sz w:val="24"/>
              <w:szCs w:val="24"/>
              <w:lang w:bidi="ar-EG"/>
            </w:rPr>
            <w:instrText xml:space="preserve"> CITATION Win10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(Winston, 2010)</w:t>
          </w:r>
          <w:r w:rsidR="001919A5" w:rsidRPr="002D0908">
            <w:rPr>
              <w:rFonts w:asciiTheme="majorBidi" w:hAnsiTheme="majorBidi" w:cstheme="majorBidi"/>
              <w:sz w:val="24"/>
              <w:szCs w:val="24"/>
              <w:lang w:bidi="ar-EG"/>
            </w:rPr>
            <w:fldChar w:fldCharType="end"/>
          </w:r>
        </w:sdtContent>
      </w:sdt>
      <w:r w:rsidRPr="002D0908">
        <w:rPr>
          <w:rFonts w:asciiTheme="majorBidi" w:hAnsiTheme="majorBidi" w:cstheme="majorBidi"/>
          <w:sz w:val="24"/>
          <w:szCs w:val="24"/>
          <w:lang w:bidi="ar-EG"/>
        </w:rPr>
        <w:t>.</w:t>
      </w:r>
    </w:p>
    <w:p w:rsidR="00BF2D83" w:rsidRPr="002D0908" w:rsidRDefault="00BF2D83" w:rsidP="00D87ACB">
      <w:pPr>
        <w:bidi w:val="0"/>
        <w:spacing w:after="0" w:line="360" w:lineRule="auto"/>
        <w:jc w:val="both"/>
        <w:rPr>
          <w:rFonts w:asciiTheme="majorBidi" w:hAnsiTheme="majorBidi" w:cstheme="majorBidi"/>
          <w:b/>
          <w:bCs/>
          <w:sz w:val="24"/>
          <w:szCs w:val="24"/>
          <w:lang w:bidi="ar-EG"/>
        </w:rPr>
      </w:pPr>
      <w:r w:rsidRPr="002D0908">
        <w:rPr>
          <w:rFonts w:asciiTheme="majorBidi" w:hAnsiTheme="majorBidi" w:cstheme="majorBidi"/>
          <w:sz w:val="24"/>
          <w:szCs w:val="24"/>
        </w:rPr>
        <w:t xml:space="preserve"> CBCT was used for evaluation, as it was proven to capture 3D images with high contrast, have excellent image acquisition of vital structures as the inferior alveolar nerve canal, and has proven more reliable than medical CT</w:t>
      </w:r>
      <w:r w:rsidR="00495D8E" w:rsidRPr="002D0908">
        <w:rPr>
          <w:rFonts w:asciiTheme="majorBidi" w:hAnsiTheme="majorBidi" w:cstheme="majorBidi"/>
          <w:sz w:val="24"/>
          <w:szCs w:val="24"/>
        </w:rPr>
        <w:t xml:space="preserve"> </w:t>
      </w:r>
      <w:sdt>
        <w:sdtPr>
          <w:rPr>
            <w:rFonts w:asciiTheme="majorBidi" w:hAnsiTheme="majorBidi" w:cstheme="majorBidi"/>
            <w:sz w:val="24"/>
            <w:szCs w:val="24"/>
          </w:rPr>
          <w:id w:val="392639398"/>
          <w:citation/>
        </w:sdtPr>
        <w:sdtContent>
          <w:r w:rsidR="001919A5" w:rsidRPr="002D0908">
            <w:rPr>
              <w:rFonts w:asciiTheme="majorBidi" w:hAnsiTheme="majorBidi" w:cstheme="majorBidi"/>
              <w:sz w:val="24"/>
              <w:szCs w:val="24"/>
            </w:rPr>
            <w:fldChar w:fldCharType="begin"/>
          </w:r>
          <w:r w:rsidR="00495D8E" w:rsidRPr="002D0908">
            <w:rPr>
              <w:rFonts w:asciiTheme="majorBidi" w:hAnsiTheme="majorBidi" w:cstheme="majorBidi"/>
              <w:sz w:val="24"/>
              <w:szCs w:val="24"/>
            </w:rPr>
            <w:instrText xml:space="preserve"> CITATION Gue06 \l 1033 </w:instrText>
          </w:r>
          <w:r w:rsidR="001919A5" w:rsidRPr="002D0908">
            <w:rPr>
              <w:rFonts w:asciiTheme="majorBidi" w:hAnsiTheme="majorBidi" w:cstheme="majorBidi"/>
              <w:sz w:val="24"/>
              <w:szCs w:val="24"/>
            </w:rPr>
            <w:fldChar w:fldCharType="separate"/>
          </w:r>
          <w:r w:rsidR="00972DFB" w:rsidRPr="002D0908">
            <w:rPr>
              <w:rFonts w:asciiTheme="majorBidi" w:hAnsiTheme="majorBidi" w:cstheme="majorBidi"/>
              <w:noProof/>
              <w:sz w:val="24"/>
              <w:szCs w:val="24"/>
            </w:rPr>
            <w:t>(Guerrero ME, 2006)</w:t>
          </w:r>
          <w:r w:rsidR="001919A5" w:rsidRPr="002D0908">
            <w:rPr>
              <w:rFonts w:asciiTheme="majorBidi" w:hAnsiTheme="majorBidi" w:cstheme="majorBidi"/>
              <w:sz w:val="24"/>
              <w:szCs w:val="24"/>
            </w:rPr>
            <w:fldChar w:fldCharType="end"/>
          </w:r>
        </w:sdtContent>
      </w:sdt>
      <w:r w:rsidRPr="002D0908">
        <w:rPr>
          <w:rFonts w:asciiTheme="majorBidi" w:hAnsiTheme="majorBidi" w:cstheme="majorBidi"/>
          <w:sz w:val="24"/>
          <w:szCs w:val="24"/>
        </w:rPr>
        <w:t xml:space="preserve">. In addition, CBCT exposes the patient to less radiation than medical CT. </w:t>
      </w:r>
      <w:sdt>
        <w:sdtPr>
          <w:rPr>
            <w:rFonts w:asciiTheme="majorBidi" w:hAnsiTheme="majorBidi" w:cstheme="majorBidi"/>
            <w:sz w:val="24"/>
            <w:szCs w:val="24"/>
          </w:rPr>
          <w:id w:val="392639691"/>
          <w:citation/>
        </w:sdtPr>
        <w:sdtContent>
          <w:r w:rsidR="001919A5" w:rsidRPr="002D0908">
            <w:rPr>
              <w:rFonts w:asciiTheme="majorBidi" w:hAnsiTheme="majorBidi" w:cstheme="majorBidi"/>
              <w:sz w:val="24"/>
              <w:szCs w:val="24"/>
            </w:rPr>
            <w:fldChar w:fldCharType="begin"/>
          </w:r>
          <w:r w:rsidR="00495D8E" w:rsidRPr="002D0908">
            <w:rPr>
              <w:rFonts w:asciiTheme="majorBidi" w:hAnsiTheme="majorBidi" w:cstheme="majorBidi"/>
              <w:sz w:val="24"/>
              <w:szCs w:val="24"/>
            </w:rPr>
            <w:instrText xml:space="preserve"> CITATION Kob04 \l 1033 </w:instrText>
          </w:r>
          <w:r w:rsidR="001919A5" w:rsidRPr="002D0908">
            <w:rPr>
              <w:rFonts w:asciiTheme="majorBidi" w:hAnsiTheme="majorBidi" w:cstheme="majorBidi"/>
              <w:sz w:val="24"/>
              <w:szCs w:val="24"/>
            </w:rPr>
            <w:fldChar w:fldCharType="separate"/>
          </w:r>
          <w:r w:rsidR="00972DFB" w:rsidRPr="002D0908">
            <w:rPr>
              <w:rFonts w:asciiTheme="majorBidi" w:hAnsiTheme="majorBidi" w:cstheme="majorBidi"/>
              <w:noProof/>
              <w:sz w:val="24"/>
              <w:szCs w:val="24"/>
            </w:rPr>
            <w:t>(Kobayashi K, 2004)</w:t>
          </w:r>
          <w:r w:rsidR="001919A5" w:rsidRPr="002D0908">
            <w:rPr>
              <w:rFonts w:asciiTheme="majorBidi" w:hAnsiTheme="majorBidi" w:cstheme="majorBidi"/>
              <w:sz w:val="24"/>
              <w:szCs w:val="24"/>
            </w:rPr>
            <w:fldChar w:fldCharType="end"/>
          </w:r>
        </w:sdtContent>
      </w:sdt>
      <w:r w:rsidRPr="002D0908">
        <w:rPr>
          <w:rFonts w:asciiTheme="majorBidi" w:hAnsiTheme="majorBidi" w:cstheme="majorBidi"/>
          <w:sz w:val="24"/>
          <w:szCs w:val="24"/>
        </w:rPr>
        <w:t xml:space="preserve"> concluded that the average distance measurement error for CBCT was found to be significantly less than that for CT. Moreover, the maximum error associated with measuring the distance was 0.65 mm in CBCT, which was significantly less than that of CT at 1.11mm. Considering that the measurement error should be less than 1 mm on images for implant treatment</w:t>
      </w:r>
      <w:r w:rsidR="00495D8E" w:rsidRPr="002D0908">
        <w:rPr>
          <w:rFonts w:asciiTheme="majorBidi" w:hAnsiTheme="majorBidi" w:cstheme="majorBidi"/>
          <w:sz w:val="24"/>
          <w:szCs w:val="24"/>
        </w:rPr>
        <w:t xml:space="preserve"> </w:t>
      </w:r>
      <w:sdt>
        <w:sdtPr>
          <w:rPr>
            <w:rFonts w:asciiTheme="majorBidi" w:hAnsiTheme="majorBidi" w:cstheme="majorBidi"/>
            <w:sz w:val="24"/>
            <w:szCs w:val="24"/>
          </w:rPr>
          <w:id w:val="392640484"/>
          <w:citation/>
        </w:sdtPr>
        <w:sdtContent>
          <w:r w:rsidR="001919A5" w:rsidRPr="002D0908">
            <w:rPr>
              <w:rFonts w:asciiTheme="majorBidi" w:hAnsiTheme="majorBidi" w:cstheme="majorBidi"/>
              <w:sz w:val="24"/>
              <w:szCs w:val="24"/>
            </w:rPr>
            <w:fldChar w:fldCharType="begin"/>
          </w:r>
          <w:r w:rsidR="00495D8E" w:rsidRPr="002D0908">
            <w:rPr>
              <w:rFonts w:asciiTheme="majorBidi" w:hAnsiTheme="majorBidi" w:cstheme="majorBidi"/>
              <w:sz w:val="24"/>
              <w:szCs w:val="24"/>
            </w:rPr>
            <w:instrText xml:space="preserve"> CITATION Wya98 \l 1033 </w:instrText>
          </w:r>
          <w:r w:rsidR="001919A5" w:rsidRPr="002D0908">
            <w:rPr>
              <w:rFonts w:asciiTheme="majorBidi" w:hAnsiTheme="majorBidi" w:cstheme="majorBidi"/>
              <w:sz w:val="24"/>
              <w:szCs w:val="24"/>
            </w:rPr>
            <w:fldChar w:fldCharType="separate"/>
          </w:r>
          <w:r w:rsidR="00972DFB" w:rsidRPr="002D0908">
            <w:rPr>
              <w:rFonts w:asciiTheme="majorBidi" w:hAnsiTheme="majorBidi" w:cstheme="majorBidi"/>
              <w:noProof/>
              <w:sz w:val="24"/>
              <w:szCs w:val="24"/>
            </w:rPr>
            <w:t>(Wyatt CC, 1998)</w:t>
          </w:r>
          <w:r w:rsidR="001919A5" w:rsidRPr="002D0908">
            <w:rPr>
              <w:rFonts w:asciiTheme="majorBidi" w:hAnsiTheme="majorBidi" w:cstheme="majorBidi"/>
              <w:sz w:val="24"/>
              <w:szCs w:val="24"/>
            </w:rPr>
            <w:fldChar w:fldCharType="end"/>
          </w:r>
        </w:sdtContent>
      </w:sdt>
      <w:r w:rsidRPr="002D0908">
        <w:rPr>
          <w:rFonts w:asciiTheme="majorBidi" w:hAnsiTheme="majorBidi" w:cstheme="majorBidi"/>
          <w:sz w:val="24"/>
          <w:szCs w:val="24"/>
        </w:rPr>
        <w:t xml:space="preserve">, CBCT appears to be a more accurate tool for distance measurement with regards to implant planning. </w:t>
      </w:r>
      <w:r w:rsidR="00495D8E" w:rsidRPr="002D0908">
        <w:rPr>
          <w:rFonts w:asciiTheme="majorBidi" w:hAnsiTheme="majorBidi" w:cstheme="majorBidi"/>
          <w:noProof/>
          <w:sz w:val="24"/>
          <w:szCs w:val="24"/>
        </w:rPr>
        <w:t>(Aranyarachkul PCaruso J, 2005)</w:t>
      </w:r>
      <w:r w:rsidR="00495D8E" w:rsidRPr="002D0908">
        <w:rPr>
          <w:rFonts w:asciiTheme="majorBidi" w:hAnsiTheme="majorBidi" w:cstheme="majorBidi"/>
          <w:sz w:val="24"/>
          <w:szCs w:val="24"/>
        </w:rPr>
        <w:t xml:space="preserve"> </w:t>
      </w:r>
      <w:r w:rsidRPr="002D0908">
        <w:rPr>
          <w:rFonts w:asciiTheme="majorBidi" w:hAnsiTheme="majorBidi" w:cstheme="majorBidi"/>
          <w:sz w:val="24"/>
          <w:szCs w:val="24"/>
        </w:rPr>
        <w:t xml:space="preserve">concluded that CBCT was a suitable alternative to CT for measurement of bone density. Additionally, CBCT provided a good reproducibility of bone density measure. </w:t>
      </w:r>
    </w:p>
    <w:p w:rsidR="00BF2D83" w:rsidRPr="002D0908" w:rsidRDefault="00BF2D83" w:rsidP="00D87ACB">
      <w:pPr>
        <w:bidi w:val="0"/>
        <w:spacing w:after="0" w:line="360" w:lineRule="auto"/>
        <w:jc w:val="both"/>
        <w:rPr>
          <w:rFonts w:asciiTheme="majorBidi" w:hAnsiTheme="majorBidi" w:cstheme="majorBidi"/>
          <w:sz w:val="24"/>
          <w:szCs w:val="24"/>
          <w:rtl/>
          <w:lang w:bidi="ar-EG"/>
        </w:rPr>
      </w:pPr>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b/>
          <w:bCs/>
          <w:sz w:val="24"/>
          <w:szCs w:val="24"/>
          <w:lang w:bidi="ar-EG"/>
        </w:rPr>
        <w:t>Regarding cases that used non-rigid connectors;</w:t>
      </w:r>
      <w:r w:rsidRPr="002D0908">
        <w:rPr>
          <w:rFonts w:asciiTheme="majorBidi" w:hAnsiTheme="majorBidi" w:cstheme="majorBidi"/>
          <w:sz w:val="24"/>
          <w:szCs w:val="24"/>
          <w:lang w:bidi="ar-EG"/>
        </w:rPr>
        <w:t xml:space="preserve"> results revealed that using them resulted in an increase in percentage bone loss, accompanied with a significant decrease in bone density around implant abutments compared with cases that used rigid connectors. These results might indicate that non-rigid connectors result in an excessively applied dynamic loading which caused a decreased percentage of mineralized bone tissue in the cortex; a decrease in bone density, thus leading to increased bone </w:t>
      </w:r>
      <w:proofErr w:type="spellStart"/>
      <w:r w:rsidRPr="002D0908">
        <w:rPr>
          <w:rFonts w:asciiTheme="majorBidi" w:hAnsiTheme="majorBidi" w:cstheme="majorBidi"/>
          <w:sz w:val="24"/>
          <w:szCs w:val="24"/>
          <w:lang w:bidi="ar-EG"/>
        </w:rPr>
        <w:t>resorption</w:t>
      </w:r>
      <w:proofErr w:type="spellEnd"/>
      <w:r w:rsidRPr="002D0908">
        <w:rPr>
          <w:rFonts w:asciiTheme="majorBidi" w:hAnsiTheme="majorBidi" w:cstheme="majorBidi"/>
          <w:sz w:val="24"/>
          <w:szCs w:val="24"/>
          <w:lang w:bidi="ar-EG"/>
        </w:rPr>
        <w:t xml:space="preserve"> and crater-like defects around the implant collar</w:t>
      </w:r>
      <w:r w:rsidR="00772753" w:rsidRPr="002D0908">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392641956"/>
          <w:citation/>
        </w:sdtPr>
        <w:sdtContent>
          <w:r w:rsidR="001919A5" w:rsidRPr="002D0908">
            <w:rPr>
              <w:rFonts w:asciiTheme="majorBidi" w:hAnsiTheme="majorBidi" w:cstheme="majorBidi"/>
              <w:sz w:val="24"/>
              <w:szCs w:val="24"/>
              <w:lang w:bidi="ar-EG"/>
            </w:rPr>
            <w:fldChar w:fldCharType="begin"/>
          </w:r>
          <w:r w:rsidR="00772753" w:rsidRPr="002D0908">
            <w:rPr>
              <w:rFonts w:asciiTheme="majorBidi" w:hAnsiTheme="majorBidi" w:cstheme="majorBidi"/>
              <w:sz w:val="24"/>
              <w:szCs w:val="24"/>
              <w:lang w:bidi="ar-EG"/>
            </w:rPr>
            <w:instrText xml:space="preserve"> CITATION Duy01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(Duyck J, 2001)</w:t>
          </w:r>
          <w:r w:rsidR="001919A5" w:rsidRPr="002D0908">
            <w:rPr>
              <w:rFonts w:asciiTheme="majorBidi" w:hAnsiTheme="majorBidi" w:cstheme="majorBidi"/>
              <w:sz w:val="24"/>
              <w:szCs w:val="24"/>
              <w:lang w:bidi="ar-EG"/>
            </w:rPr>
            <w:fldChar w:fldCharType="end"/>
          </w:r>
        </w:sdtContent>
      </w:sdt>
      <w:r w:rsidR="00772753" w:rsidRPr="002D0908">
        <w:rPr>
          <w:rFonts w:asciiTheme="majorBidi" w:hAnsiTheme="majorBidi" w:cstheme="majorBidi"/>
          <w:sz w:val="24"/>
          <w:szCs w:val="24"/>
          <w:lang w:bidi="ar-EG"/>
        </w:rPr>
        <w:t xml:space="preserve"> and </w:t>
      </w:r>
      <w:sdt>
        <w:sdtPr>
          <w:rPr>
            <w:rFonts w:asciiTheme="majorBidi" w:hAnsiTheme="majorBidi" w:cstheme="majorBidi"/>
            <w:sz w:val="24"/>
            <w:szCs w:val="24"/>
            <w:lang w:bidi="ar-EG"/>
          </w:rPr>
          <w:id w:val="392641957"/>
          <w:citation/>
        </w:sdtPr>
        <w:sdtContent>
          <w:r w:rsidR="001919A5" w:rsidRPr="002D0908">
            <w:rPr>
              <w:rFonts w:asciiTheme="majorBidi" w:hAnsiTheme="majorBidi" w:cstheme="majorBidi"/>
              <w:sz w:val="24"/>
              <w:szCs w:val="24"/>
              <w:lang w:bidi="ar-EG"/>
            </w:rPr>
            <w:fldChar w:fldCharType="begin"/>
          </w:r>
          <w:r w:rsidR="00772753" w:rsidRPr="002D0908">
            <w:rPr>
              <w:rFonts w:asciiTheme="majorBidi" w:hAnsiTheme="majorBidi" w:cstheme="majorBidi"/>
              <w:sz w:val="24"/>
              <w:szCs w:val="24"/>
              <w:lang w:bidi="ar-EG"/>
            </w:rPr>
            <w:instrText xml:space="preserve"> CITATION Hos94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(Hoshaw SJ, 1994)</w:t>
          </w:r>
          <w:r w:rsidR="001919A5" w:rsidRPr="002D0908">
            <w:rPr>
              <w:rFonts w:asciiTheme="majorBidi" w:hAnsiTheme="majorBidi" w:cstheme="majorBidi"/>
              <w:sz w:val="24"/>
              <w:szCs w:val="24"/>
              <w:lang w:bidi="ar-EG"/>
            </w:rPr>
            <w:fldChar w:fldCharType="end"/>
          </w:r>
        </w:sdtContent>
      </w:sdt>
      <w:r w:rsidRPr="002D0908">
        <w:rPr>
          <w:rFonts w:asciiTheme="majorBidi" w:hAnsiTheme="majorBidi" w:cstheme="majorBidi"/>
          <w:sz w:val="24"/>
          <w:szCs w:val="24"/>
          <w:lang w:bidi="ar-EG"/>
        </w:rPr>
        <w:t xml:space="preserve"> </w:t>
      </w:r>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 xml:space="preserve">That was in approval with Li-Lin C, who reported that stresses falling on implants using non-rigid connectors were found to be increased compared with those using rigid connectors, which was attributed to the increased </w:t>
      </w:r>
      <w:proofErr w:type="spellStart"/>
      <w:r w:rsidRPr="002D0908">
        <w:rPr>
          <w:rFonts w:asciiTheme="majorBidi" w:hAnsiTheme="majorBidi" w:cstheme="majorBidi"/>
          <w:sz w:val="24"/>
          <w:szCs w:val="24"/>
          <w:lang w:bidi="ar-EG"/>
        </w:rPr>
        <w:t>occlusal</w:t>
      </w:r>
      <w:proofErr w:type="spellEnd"/>
      <w:r w:rsidRPr="002D0908">
        <w:rPr>
          <w:rFonts w:asciiTheme="majorBidi" w:hAnsiTheme="majorBidi" w:cstheme="majorBidi"/>
          <w:sz w:val="24"/>
          <w:szCs w:val="24"/>
          <w:lang w:bidi="ar-EG"/>
        </w:rPr>
        <w:t xml:space="preserve"> forces transferred from the prosthesis to alveolar bone by only one abutment (implant) as a result of the non-rigid connector that was used as a stress breaker and broke the stress transfer from the implant-side to the natural tooth</w:t>
      </w:r>
      <w:r w:rsidR="007B6B64" w:rsidRPr="002D0908">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392649217"/>
          <w:citation/>
        </w:sdtPr>
        <w:sdtContent>
          <w:r w:rsidR="001919A5" w:rsidRPr="002D0908">
            <w:rPr>
              <w:rFonts w:asciiTheme="majorBidi" w:hAnsiTheme="majorBidi" w:cstheme="majorBidi"/>
              <w:sz w:val="24"/>
              <w:szCs w:val="24"/>
              <w:lang w:bidi="ar-EG"/>
            </w:rPr>
            <w:fldChar w:fldCharType="begin"/>
          </w:r>
          <w:r w:rsidR="007B6B64" w:rsidRPr="002D0908">
            <w:rPr>
              <w:rFonts w:asciiTheme="majorBidi" w:hAnsiTheme="majorBidi" w:cstheme="majorBidi"/>
              <w:sz w:val="24"/>
              <w:szCs w:val="24"/>
              <w:lang w:bidi="ar-EG"/>
            </w:rPr>
            <w:instrText xml:space="preserve"> CITATION Lin06 \l 1033 </w:instrText>
          </w:r>
          <w:r w:rsidR="001919A5" w:rsidRPr="002D0908">
            <w:rPr>
              <w:rFonts w:asciiTheme="majorBidi" w:hAnsiTheme="majorBidi" w:cstheme="majorBidi"/>
              <w:sz w:val="24"/>
              <w:szCs w:val="24"/>
              <w:lang w:bidi="ar-EG"/>
            </w:rPr>
            <w:fldChar w:fldCharType="separate"/>
          </w:r>
          <w:r w:rsidR="007B6B64" w:rsidRPr="002D0908">
            <w:rPr>
              <w:rFonts w:asciiTheme="majorBidi" w:hAnsiTheme="majorBidi" w:cstheme="majorBidi"/>
              <w:noProof/>
              <w:sz w:val="24"/>
              <w:szCs w:val="24"/>
              <w:lang w:bidi="ar-EG"/>
            </w:rPr>
            <w:t>(Lin CL, 2006)</w:t>
          </w:r>
          <w:r w:rsidR="001919A5" w:rsidRPr="002D0908">
            <w:rPr>
              <w:rFonts w:asciiTheme="majorBidi" w:hAnsiTheme="majorBidi" w:cstheme="majorBidi"/>
              <w:sz w:val="24"/>
              <w:szCs w:val="24"/>
              <w:lang w:bidi="ar-EG"/>
            </w:rPr>
            <w:fldChar w:fldCharType="end"/>
          </w:r>
        </w:sdtContent>
      </w:sdt>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Yet, contradicting results were reported by</w:t>
      </w:r>
      <w:r w:rsidR="007B6B64" w:rsidRPr="002D0908">
        <w:rPr>
          <w:rFonts w:asciiTheme="majorBidi" w:hAnsiTheme="majorBidi" w:cstheme="majorBidi"/>
          <w:sz w:val="24"/>
          <w:szCs w:val="24"/>
          <w:vertAlign w:val="superscript"/>
          <w:lang w:bidi="ar-EG"/>
        </w:rPr>
        <w:t xml:space="preserve"> </w:t>
      </w:r>
      <w:sdt>
        <w:sdtPr>
          <w:rPr>
            <w:rFonts w:asciiTheme="majorBidi" w:hAnsiTheme="majorBidi" w:cstheme="majorBidi"/>
            <w:sz w:val="24"/>
            <w:szCs w:val="24"/>
            <w:vertAlign w:val="superscript"/>
            <w:lang w:bidi="ar-EG"/>
          </w:rPr>
          <w:id w:val="392649219"/>
          <w:citation/>
        </w:sdtPr>
        <w:sdtContent>
          <w:r w:rsidR="001919A5" w:rsidRPr="002D0908">
            <w:rPr>
              <w:rFonts w:asciiTheme="majorBidi" w:hAnsiTheme="majorBidi" w:cstheme="majorBidi"/>
              <w:sz w:val="24"/>
              <w:szCs w:val="24"/>
              <w:vertAlign w:val="superscript"/>
              <w:lang w:bidi="ar-EG"/>
            </w:rPr>
            <w:fldChar w:fldCharType="begin"/>
          </w:r>
          <w:r w:rsidR="007B6B64" w:rsidRPr="002D0908">
            <w:rPr>
              <w:rFonts w:asciiTheme="majorBidi" w:hAnsiTheme="majorBidi" w:cstheme="majorBidi"/>
              <w:sz w:val="24"/>
              <w:szCs w:val="24"/>
              <w:lang w:bidi="ar-EG"/>
            </w:rPr>
            <w:instrText xml:space="preserve"> CITATION Nae01 \l 1033 </w:instrText>
          </w:r>
          <w:r w:rsidR="001919A5" w:rsidRPr="002D0908">
            <w:rPr>
              <w:rFonts w:asciiTheme="majorBidi" w:hAnsiTheme="majorBidi" w:cstheme="majorBidi"/>
              <w:sz w:val="24"/>
              <w:szCs w:val="24"/>
              <w:vertAlign w:val="superscript"/>
              <w:lang w:bidi="ar-EG"/>
            </w:rPr>
            <w:fldChar w:fldCharType="separate"/>
          </w:r>
          <w:r w:rsidR="007B6B64" w:rsidRPr="002D0908">
            <w:rPr>
              <w:rFonts w:asciiTheme="majorBidi" w:hAnsiTheme="majorBidi" w:cstheme="majorBidi"/>
              <w:noProof/>
              <w:sz w:val="24"/>
              <w:szCs w:val="24"/>
              <w:lang w:bidi="ar-EG"/>
            </w:rPr>
            <w:t>(Naert I D. J., 2001)</w:t>
          </w:r>
          <w:r w:rsidR="001919A5" w:rsidRPr="002D0908">
            <w:rPr>
              <w:rFonts w:asciiTheme="majorBidi" w:hAnsiTheme="majorBidi" w:cstheme="majorBidi"/>
              <w:sz w:val="24"/>
              <w:szCs w:val="24"/>
              <w:vertAlign w:val="superscript"/>
              <w:lang w:bidi="ar-EG"/>
            </w:rPr>
            <w:fldChar w:fldCharType="end"/>
          </w:r>
        </w:sdtContent>
      </w:sdt>
      <w:r w:rsidR="007B6B64" w:rsidRPr="002D0908">
        <w:rPr>
          <w:rFonts w:asciiTheme="majorBidi" w:hAnsiTheme="majorBidi" w:cstheme="majorBidi"/>
          <w:sz w:val="24"/>
          <w:szCs w:val="24"/>
          <w:lang w:bidi="ar-EG"/>
        </w:rPr>
        <w:t xml:space="preserve"> </w:t>
      </w:r>
      <w:r w:rsidR="000362F0" w:rsidRPr="002D0908">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392639399"/>
          <w:citation/>
        </w:sdtPr>
        <w:sdtContent>
          <w:r w:rsidR="001919A5" w:rsidRPr="002D0908">
            <w:rPr>
              <w:rFonts w:asciiTheme="majorBidi" w:hAnsiTheme="majorBidi" w:cstheme="majorBidi"/>
              <w:sz w:val="24"/>
              <w:szCs w:val="24"/>
              <w:lang w:bidi="ar-EG"/>
            </w:rPr>
            <w:fldChar w:fldCharType="begin"/>
          </w:r>
          <w:r w:rsidR="00495D8E" w:rsidRPr="002D0908">
            <w:rPr>
              <w:rFonts w:asciiTheme="majorBidi" w:hAnsiTheme="majorBidi" w:cstheme="majorBidi"/>
              <w:sz w:val="24"/>
              <w:szCs w:val="24"/>
              <w:lang w:bidi="ar-EG"/>
            </w:rPr>
            <w:instrText xml:space="preserve"> CITATION Win10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(Winston, 2010)</w:t>
          </w:r>
          <w:r w:rsidR="001919A5" w:rsidRPr="002D0908">
            <w:rPr>
              <w:rFonts w:asciiTheme="majorBidi" w:hAnsiTheme="majorBidi" w:cstheme="majorBidi"/>
              <w:sz w:val="24"/>
              <w:szCs w:val="24"/>
              <w:lang w:bidi="ar-EG"/>
            </w:rPr>
            <w:fldChar w:fldCharType="end"/>
          </w:r>
        </w:sdtContent>
      </w:sdt>
      <w:r w:rsidRPr="002D0908">
        <w:rPr>
          <w:rFonts w:asciiTheme="majorBidi" w:hAnsiTheme="majorBidi" w:cstheme="majorBidi"/>
          <w:sz w:val="24"/>
          <w:szCs w:val="24"/>
          <w:lang w:bidi="ar-EG"/>
        </w:rPr>
        <w:t xml:space="preserve">, </w:t>
      </w:r>
      <w:r w:rsidR="000362F0" w:rsidRPr="002D0908">
        <w:rPr>
          <w:rFonts w:asciiTheme="majorBidi" w:hAnsiTheme="majorBidi" w:cstheme="majorBidi"/>
          <w:sz w:val="24"/>
          <w:szCs w:val="24"/>
          <w:lang w:bidi="ar-EG"/>
        </w:rPr>
        <w:t xml:space="preserve">and </w:t>
      </w:r>
      <w:sdt>
        <w:sdtPr>
          <w:rPr>
            <w:rFonts w:asciiTheme="majorBidi" w:hAnsiTheme="majorBidi" w:cstheme="majorBidi"/>
            <w:sz w:val="24"/>
            <w:szCs w:val="24"/>
            <w:lang w:bidi="ar-EG"/>
          </w:rPr>
          <w:id w:val="392649221"/>
          <w:citation/>
        </w:sdtPr>
        <w:sdtContent>
          <w:r w:rsidR="001919A5" w:rsidRPr="002D0908">
            <w:rPr>
              <w:rFonts w:asciiTheme="majorBidi" w:hAnsiTheme="majorBidi" w:cstheme="majorBidi"/>
              <w:sz w:val="24"/>
              <w:szCs w:val="24"/>
              <w:lang w:bidi="ar-EG"/>
            </w:rPr>
            <w:fldChar w:fldCharType="begin"/>
          </w:r>
          <w:r w:rsidR="000362F0" w:rsidRPr="002D0908">
            <w:rPr>
              <w:rFonts w:asciiTheme="majorBidi" w:hAnsiTheme="majorBidi" w:cstheme="majorBidi"/>
              <w:sz w:val="24"/>
              <w:szCs w:val="24"/>
              <w:lang w:bidi="ar-EG"/>
            </w:rPr>
            <w:instrText xml:space="preserve"> CITATION Car10 \l 1033 </w:instrText>
          </w:r>
          <w:r w:rsidR="001919A5" w:rsidRPr="002D0908">
            <w:rPr>
              <w:rFonts w:asciiTheme="majorBidi" w:hAnsiTheme="majorBidi" w:cstheme="majorBidi"/>
              <w:sz w:val="24"/>
              <w:szCs w:val="24"/>
              <w:lang w:bidi="ar-EG"/>
            </w:rPr>
            <w:fldChar w:fldCharType="separate"/>
          </w:r>
          <w:r w:rsidR="000362F0" w:rsidRPr="002D0908">
            <w:rPr>
              <w:rFonts w:asciiTheme="majorBidi" w:hAnsiTheme="majorBidi" w:cstheme="majorBidi"/>
              <w:noProof/>
              <w:sz w:val="24"/>
              <w:szCs w:val="24"/>
              <w:lang w:bidi="ar-EG"/>
            </w:rPr>
            <w:t>(Carillo C, 2010)</w:t>
          </w:r>
          <w:r w:rsidR="001919A5" w:rsidRPr="002D0908">
            <w:rPr>
              <w:rFonts w:asciiTheme="majorBidi" w:hAnsiTheme="majorBidi" w:cstheme="majorBidi"/>
              <w:sz w:val="24"/>
              <w:szCs w:val="24"/>
              <w:lang w:bidi="ar-EG"/>
            </w:rPr>
            <w:fldChar w:fldCharType="end"/>
          </w:r>
        </w:sdtContent>
      </w:sdt>
      <w:r w:rsidR="000362F0" w:rsidRPr="002D0908">
        <w:rPr>
          <w:rFonts w:asciiTheme="majorBidi" w:hAnsiTheme="majorBidi" w:cstheme="majorBidi"/>
          <w:sz w:val="24"/>
          <w:szCs w:val="24"/>
          <w:lang w:bidi="ar-EG"/>
        </w:rPr>
        <w:t xml:space="preserve"> </w:t>
      </w:r>
      <w:r w:rsidRPr="002D0908">
        <w:rPr>
          <w:rFonts w:asciiTheme="majorBidi" w:hAnsiTheme="majorBidi" w:cstheme="majorBidi"/>
          <w:sz w:val="24"/>
          <w:szCs w:val="24"/>
          <w:lang w:bidi="ar-EG"/>
        </w:rPr>
        <w:t xml:space="preserve">who stated that there was 3 times greater bone loss rate for the rigid </w:t>
      </w:r>
      <w:r w:rsidRPr="002D0908">
        <w:rPr>
          <w:rFonts w:asciiTheme="majorBidi" w:hAnsiTheme="majorBidi" w:cstheme="majorBidi"/>
          <w:sz w:val="24"/>
          <w:szCs w:val="24"/>
          <w:lang w:bidi="ar-EG"/>
        </w:rPr>
        <w:lastRenderedPageBreak/>
        <w:t xml:space="preserve">tooth-implant connected prostheses, than the freestanding prostheses or the non-rigid tooth implant connections, although it was suggested that rigid connection achieves better outcomes with regard to avoiding dental intrusion.  </w:t>
      </w:r>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 xml:space="preserve">Meanwhile, using non-rigid connectors resulted in healthy bone stimulation; yielding bone deposition and slight increase in bone density around natural teeth abutments. That was attributed to the fact that due to the non-rigid connector, most of the stresses were transferred to the implant </w:t>
      </w:r>
      <w:r w:rsidR="00772753" w:rsidRPr="002D0908">
        <w:rPr>
          <w:rFonts w:asciiTheme="majorBidi" w:hAnsiTheme="majorBidi" w:cstheme="majorBidi"/>
          <w:sz w:val="24"/>
          <w:szCs w:val="24"/>
          <w:lang w:bidi="ar-EG"/>
        </w:rPr>
        <w:t>abutment;</w:t>
      </w:r>
      <w:r w:rsidRPr="002D0908">
        <w:rPr>
          <w:rFonts w:asciiTheme="majorBidi" w:hAnsiTheme="majorBidi" w:cstheme="majorBidi"/>
          <w:sz w:val="24"/>
          <w:szCs w:val="24"/>
          <w:lang w:bidi="ar-EG"/>
        </w:rPr>
        <w:t xml:space="preserve"> leading to the decrease in stresses falling on natural teeth abutments. That was in approval with</w:t>
      </w:r>
      <w:r w:rsidR="00495D8E" w:rsidRPr="002D0908">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392639401"/>
          <w:citation/>
        </w:sdtPr>
        <w:sdtContent>
          <w:r w:rsidR="001919A5" w:rsidRPr="002D0908">
            <w:rPr>
              <w:rFonts w:asciiTheme="majorBidi" w:hAnsiTheme="majorBidi" w:cstheme="majorBidi"/>
              <w:sz w:val="24"/>
              <w:szCs w:val="24"/>
              <w:lang w:bidi="ar-EG"/>
            </w:rPr>
            <w:fldChar w:fldCharType="begin"/>
          </w:r>
          <w:r w:rsidR="00495D8E" w:rsidRPr="002D0908">
            <w:rPr>
              <w:rFonts w:asciiTheme="majorBidi" w:hAnsiTheme="majorBidi" w:cstheme="majorBidi"/>
              <w:sz w:val="24"/>
              <w:szCs w:val="24"/>
              <w:lang w:bidi="ar-EG"/>
            </w:rPr>
            <w:instrText xml:space="preserve"> CITATION Rus99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(Russell D, 1999)</w:t>
          </w:r>
          <w:r w:rsidR="001919A5" w:rsidRPr="002D0908">
            <w:rPr>
              <w:rFonts w:asciiTheme="majorBidi" w:hAnsiTheme="majorBidi" w:cstheme="majorBidi"/>
              <w:sz w:val="24"/>
              <w:szCs w:val="24"/>
              <w:lang w:bidi="ar-EG"/>
            </w:rPr>
            <w:fldChar w:fldCharType="end"/>
          </w:r>
        </w:sdtContent>
      </w:sdt>
      <w:r w:rsidRPr="002D0908">
        <w:rPr>
          <w:rFonts w:asciiTheme="majorBidi" w:hAnsiTheme="majorBidi" w:cstheme="majorBidi"/>
          <w:sz w:val="24"/>
          <w:szCs w:val="24"/>
          <w:lang w:bidi="ar-EG"/>
        </w:rPr>
        <w:t xml:space="preserve"> and </w:t>
      </w:r>
      <w:sdt>
        <w:sdtPr>
          <w:rPr>
            <w:rFonts w:asciiTheme="majorBidi" w:hAnsiTheme="majorBidi" w:cstheme="majorBidi"/>
            <w:sz w:val="24"/>
            <w:szCs w:val="24"/>
            <w:lang w:bidi="ar-EG"/>
          </w:rPr>
          <w:id w:val="392639402"/>
          <w:citation/>
        </w:sdtPr>
        <w:sdtContent>
          <w:r w:rsidR="001919A5" w:rsidRPr="002D0908">
            <w:rPr>
              <w:rFonts w:asciiTheme="majorBidi" w:hAnsiTheme="majorBidi" w:cstheme="majorBidi"/>
              <w:sz w:val="24"/>
              <w:szCs w:val="24"/>
              <w:lang w:bidi="ar-EG"/>
            </w:rPr>
            <w:fldChar w:fldCharType="begin"/>
          </w:r>
          <w:r w:rsidR="00495D8E" w:rsidRPr="002D0908">
            <w:rPr>
              <w:rFonts w:asciiTheme="majorBidi" w:hAnsiTheme="majorBidi" w:cstheme="majorBidi"/>
              <w:sz w:val="24"/>
              <w:szCs w:val="24"/>
            </w:rPr>
            <w:instrText xml:space="preserve"> CITATION Bec00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rPr>
            <w:t>(Becker C, 2000)</w:t>
          </w:r>
          <w:r w:rsidR="001919A5" w:rsidRPr="002D0908">
            <w:rPr>
              <w:rFonts w:asciiTheme="majorBidi" w:hAnsiTheme="majorBidi" w:cstheme="majorBidi"/>
              <w:sz w:val="24"/>
              <w:szCs w:val="24"/>
              <w:lang w:bidi="ar-EG"/>
            </w:rPr>
            <w:fldChar w:fldCharType="end"/>
          </w:r>
        </w:sdtContent>
      </w:sdt>
      <w:r w:rsidR="00495D8E" w:rsidRPr="002D0908">
        <w:rPr>
          <w:rFonts w:asciiTheme="majorBidi" w:hAnsiTheme="majorBidi" w:cstheme="majorBidi"/>
          <w:sz w:val="24"/>
          <w:szCs w:val="24"/>
          <w:lang w:bidi="ar-EG"/>
        </w:rPr>
        <w:t xml:space="preserve"> </w:t>
      </w:r>
      <w:r w:rsidRPr="002D0908">
        <w:rPr>
          <w:rFonts w:asciiTheme="majorBidi" w:hAnsiTheme="majorBidi" w:cstheme="majorBidi"/>
          <w:sz w:val="24"/>
          <w:szCs w:val="24"/>
          <w:lang w:bidi="ar-EG"/>
        </w:rPr>
        <w:t>who stated that a non-rigid connector  provides the ability to separate the splinted units; thus compensating for the different degrees of mobility between the implant and the tooth, together with decreasing stresses on the restoration and decrease marginal bone loss</w:t>
      </w:r>
      <w:r w:rsidR="00495D8E" w:rsidRPr="002D0908">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392639400"/>
          <w:citation/>
        </w:sdtPr>
        <w:sdtContent>
          <w:r w:rsidR="001919A5" w:rsidRPr="002D0908">
            <w:rPr>
              <w:rFonts w:asciiTheme="majorBidi" w:hAnsiTheme="majorBidi" w:cstheme="majorBidi"/>
              <w:sz w:val="24"/>
              <w:szCs w:val="24"/>
              <w:lang w:bidi="ar-EG"/>
            </w:rPr>
            <w:fldChar w:fldCharType="begin"/>
          </w:r>
          <w:r w:rsidR="00495D8E" w:rsidRPr="002D0908">
            <w:rPr>
              <w:rFonts w:asciiTheme="majorBidi" w:hAnsiTheme="majorBidi" w:cstheme="majorBidi"/>
              <w:sz w:val="24"/>
              <w:szCs w:val="24"/>
              <w:lang w:bidi="ar-EG"/>
            </w:rPr>
            <w:instrText xml:space="preserve"> CITATION Rus99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(Russell D, 1999)</w:t>
          </w:r>
          <w:r w:rsidR="001919A5" w:rsidRPr="002D0908">
            <w:rPr>
              <w:rFonts w:asciiTheme="majorBidi" w:hAnsiTheme="majorBidi" w:cstheme="majorBidi"/>
              <w:sz w:val="24"/>
              <w:szCs w:val="24"/>
              <w:lang w:bidi="ar-EG"/>
            </w:rPr>
            <w:fldChar w:fldCharType="end"/>
          </w:r>
        </w:sdtContent>
      </w:sdt>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b/>
          <w:bCs/>
          <w:sz w:val="24"/>
          <w:szCs w:val="24"/>
          <w:lang w:bidi="ar-EG"/>
        </w:rPr>
        <w:t xml:space="preserve">Regarding cases that used rigid connectors; </w:t>
      </w:r>
      <w:r w:rsidRPr="002D0908">
        <w:rPr>
          <w:rFonts w:asciiTheme="majorBidi" w:hAnsiTheme="majorBidi" w:cstheme="majorBidi"/>
          <w:sz w:val="24"/>
          <w:szCs w:val="24"/>
          <w:lang w:bidi="ar-EG"/>
        </w:rPr>
        <w:t xml:space="preserve">results revealed that using them resulted in an increase in percentage bone loss, accompanied with a significant decrease in bone density around natural teeth abutments compared with cases that used non-rigid connectors. This was attributed to the face that rigid connectors result in distributing </w:t>
      </w:r>
      <w:proofErr w:type="spellStart"/>
      <w:r w:rsidRPr="002D0908">
        <w:rPr>
          <w:rFonts w:asciiTheme="majorBidi" w:hAnsiTheme="majorBidi" w:cstheme="majorBidi"/>
          <w:sz w:val="24"/>
          <w:szCs w:val="24"/>
          <w:lang w:bidi="ar-EG"/>
        </w:rPr>
        <w:t>occlusal</w:t>
      </w:r>
      <w:proofErr w:type="spellEnd"/>
      <w:r w:rsidRPr="002D0908">
        <w:rPr>
          <w:rFonts w:asciiTheme="majorBidi" w:hAnsiTheme="majorBidi" w:cstheme="majorBidi"/>
          <w:sz w:val="24"/>
          <w:szCs w:val="24"/>
          <w:lang w:bidi="ar-EG"/>
        </w:rPr>
        <w:t xml:space="preserve"> forces and stresses equally on both abutments, thus resulting in increased stresses on natural teeth abutments on in comparison with cases that used non-rigid connectors. </w:t>
      </w:r>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 xml:space="preserve">Meanwhile, the stresses falling on implants decreased when the </w:t>
      </w:r>
      <w:proofErr w:type="spellStart"/>
      <w:r w:rsidRPr="002D0908">
        <w:rPr>
          <w:rFonts w:asciiTheme="majorBidi" w:hAnsiTheme="majorBidi" w:cstheme="majorBidi"/>
          <w:sz w:val="24"/>
          <w:szCs w:val="24"/>
          <w:lang w:bidi="ar-EG"/>
        </w:rPr>
        <w:t>occlusal</w:t>
      </w:r>
      <w:proofErr w:type="spellEnd"/>
      <w:r w:rsidRPr="002D0908">
        <w:rPr>
          <w:rFonts w:asciiTheme="majorBidi" w:hAnsiTheme="majorBidi" w:cstheme="majorBidi"/>
          <w:sz w:val="24"/>
          <w:szCs w:val="24"/>
          <w:lang w:bidi="ar-EG"/>
        </w:rPr>
        <w:t xml:space="preserve"> force was transferred from prosthesis to alveolar bone by two abutments when rigid connector was used, which was in approval with Lin CL et al</w:t>
      </w:r>
      <w:r w:rsidR="00772753" w:rsidRPr="002D0908">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392642600"/>
          <w:citation/>
        </w:sdtPr>
        <w:sdtContent>
          <w:r w:rsidR="001919A5" w:rsidRPr="002D0908">
            <w:rPr>
              <w:rFonts w:asciiTheme="majorBidi" w:hAnsiTheme="majorBidi" w:cstheme="majorBidi"/>
              <w:sz w:val="24"/>
              <w:szCs w:val="24"/>
              <w:lang w:bidi="ar-EG"/>
            </w:rPr>
            <w:fldChar w:fldCharType="begin"/>
          </w:r>
          <w:r w:rsidR="00772753" w:rsidRPr="002D0908">
            <w:rPr>
              <w:rFonts w:asciiTheme="majorBidi" w:hAnsiTheme="majorBidi" w:cstheme="majorBidi"/>
              <w:sz w:val="24"/>
              <w:szCs w:val="24"/>
              <w:lang w:bidi="ar-EG"/>
            </w:rPr>
            <w:instrText xml:space="preserve"> CITATION Lin06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(Lin CL, 2006)</w:t>
          </w:r>
          <w:r w:rsidR="001919A5" w:rsidRPr="002D0908">
            <w:rPr>
              <w:rFonts w:asciiTheme="majorBidi" w:hAnsiTheme="majorBidi" w:cstheme="majorBidi"/>
              <w:sz w:val="24"/>
              <w:szCs w:val="24"/>
              <w:lang w:bidi="ar-EG"/>
            </w:rPr>
            <w:fldChar w:fldCharType="end"/>
          </w:r>
        </w:sdtContent>
      </w:sdt>
      <w:r w:rsidRPr="002D0908">
        <w:rPr>
          <w:rFonts w:asciiTheme="majorBidi" w:hAnsiTheme="majorBidi" w:cstheme="majorBidi"/>
          <w:sz w:val="24"/>
          <w:szCs w:val="24"/>
          <w:lang w:bidi="ar-EG"/>
        </w:rPr>
        <w:t>.</w:t>
      </w:r>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That was in approval with others who advocated rigid implant-tooth connections based on the inherent flexibility of the prosthesis and implant to accommodate dissimilar mobility characteristics</w:t>
      </w:r>
      <w:r w:rsidR="00772753" w:rsidRPr="002D0908">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392644018"/>
          <w:citation/>
        </w:sdtPr>
        <w:sdtContent>
          <w:r w:rsidR="001919A5" w:rsidRPr="002D0908">
            <w:rPr>
              <w:rFonts w:asciiTheme="majorBidi" w:hAnsiTheme="majorBidi" w:cstheme="majorBidi"/>
              <w:sz w:val="24"/>
              <w:szCs w:val="24"/>
              <w:lang w:bidi="ar-EG"/>
            </w:rPr>
            <w:fldChar w:fldCharType="begin"/>
          </w:r>
          <w:r w:rsidR="00772753" w:rsidRPr="002D0908">
            <w:rPr>
              <w:rFonts w:asciiTheme="majorBidi" w:hAnsiTheme="majorBidi" w:cstheme="majorBidi"/>
              <w:sz w:val="24"/>
              <w:szCs w:val="24"/>
              <w:lang w:bidi="ar-EG"/>
            </w:rPr>
            <w:instrText xml:space="preserve"> CITATION Nae92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(Naert I Q. M., 1992)</w:t>
          </w:r>
          <w:r w:rsidR="001919A5" w:rsidRPr="002D0908">
            <w:rPr>
              <w:rFonts w:asciiTheme="majorBidi" w:hAnsiTheme="majorBidi" w:cstheme="majorBidi"/>
              <w:sz w:val="24"/>
              <w:szCs w:val="24"/>
              <w:lang w:bidi="ar-EG"/>
            </w:rPr>
            <w:fldChar w:fldCharType="end"/>
          </w:r>
        </w:sdtContent>
      </w:sdt>
      <w:r w:rsidR="00772753" w:rsidRPr="002D0908">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392644020"/>
          <w:citation/>
        </w:sdtPr>
        <w:sdtContent>
          <w:r w:rsidR="001919A5" w:rsidRPr="002D0908">
            <w:rPr>
              <w:rFonts w:asciiTheme="majorBidi" w:hAnsiTheme="majorBidi" w:cstheme="majorBidi"/>
              <w:sz w:val="24"/>
              <w:szCs w:val="24"/>
              <w:lang w:bidi="ar-EG"/>
            </w:rPr>
            <w:fldChar w:fldCharType="begin"/>
          </w:r>
          <w:r w:rsidR="00772753" w:rsidRPr="002D0908">
            <w:rPr>
              <w:rFonts w:asciiTheme="majorBidi" w:hAnsiTheme="majorBidi" w:cstheme="majorBidi"/>
              <w:sz w:val="24"/>
              <w:szCs w:val="24"/>
              <w:lang w:bidi="ar-EG"/>
            </w:rPr>
            <w:instrText xml:space="preserve"> CITATION Gro97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(Gross M, 1997)</w:t>
          </w:r>
          <w:r w:rsidR="001919A5" w:rsidRPr="002D0908">
            <w:rPr>
              <w:rFonts w:asciiTheme="majorBidi" w:hAnsiTheme="majorBidi" w:cstheme="majorBidi"/>
              <w:sz w:val="24"/>
              <w:szCs w:val="24"/>
              <w:lang w:bidi="ar-EG"/>
            </w:rPr>
            <w:fldChar w:fldCharType="end"/>
          </w:r>
        </w:sdtContent>
      </w:sdt>
      <w:r w:rsidR="00772753" w:rsidRPr="002D0908">
        <w:rPr>
          <w:rFonts w:asciiTheme="majorBidi" w:hAnsiTheme="majorBidi" w:cstheme="majorBidi"/>
          <w:sz w:val="24"/>
          <w:szCs w:val="24"/>
          <w:lang w:bidi="ar-EG"/>
        </w:rPr>
        <w:t xml:space="preserve">, and  </w:t>
      </w:r>
      <w:sdt>
        <w:sdtPr>
          <w:rPr>
            <w:rFonts w:asciiTheme="majorBidi" w:hAnsiTheme="majorBidi" w:cstheme="majorBidi"/>
            <w:sz w:val="24"/>
            <w:szCs w:val="24"/>
            <w:lang w:bidi="ar-EG"/>
          </w:rPr>
          <w:id w:val="392644019"/>
          <w:citation/>
        </w:sdtPr>
        <w:sdtContent>
          <w:r w:rsidR="001919A5" w:rsidRPr="002D0908">
            <w:rPr>
              <w:rFonts w:asciiTheme="majorBidi" w:hAnsiTheme="majorBidi" w:cstheme="majorBidi"/>
              <w:sz w:val="24"/>
              <w:szCs w:val="24"/>
              <w:lang w:bidi="ar-EG"/>
            </w:rPr>
            <w:fldChar w:fldCharType="begin"/>
          </w:r>
          <w:r w:rsidR="00772753" w:rsidRPr="002D0908">
            <w:rPr>
              <w:rFonts w:asciiTheme="majorBidi" w:hAnsiTheme="majorBidi" w:cstheme="majorBidi"/>
              <w:sz w:val="24"/>
              <w:szCs w:val="24"/>
              <w:lang w:bidi="ar-EG"/>
            </w:rPr>
            <w:instrText xml:space="preserve"> CITATION Men02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(Menicucci G, 2002)</w:t>
          </w:r>
          <w:r w:rsidR="001919A5" w:rsidRPr="002D0908">
            <w:rPr>
              <w:rFonts w:asciiTheme="majorBidi" w:hAnsiTheme="majorBidi" w:cstheme="majorBidi"/>
              <w:sz w:val="24"/>
              <w:szCs w:val="24"/>
              <w:lang w:bidi="ar-EG"/>
            </w:rPr>
            <w:fldChar w:fldCharType="end"/>
          </w:r>
        </w:sdtContent>
      </w:sdt>
      <w:r w:rsidRPr="002D0908">
        <w:rPr>
          <w:rFonts w:asciiTheme="majorBidi" w:hAnsiTheme="majorBidi" w:cstheme="majorBidi"/>
          <w:sz w:val="24"/>
          <w:szCs w:val="24"/>
          <w:lang w:bidi="ar-EG"/>
        </w:rPr>
        <w:t xml:space="preserve"> which was stated to have an excellent long term follow up results</w:t>
      </w:r>
      <w:r w:rsidR="00972DFB" w:rsidRPr="002D0908">
        <w:rPr>
          <w:rFonts w:asciiTheme="majorBidi" w:hAnsiTheme="majorBidi" w:cstheme="majorBidi"/>
          <w:sz w:val="24"/>
          <w:szCs w:val="24"/>
          <w:lang w:bidi="ar-EG"/>
        </w:rPr>
        <w:t xml:space="preserve"> by </w:t>
      </w:r>
      <w:sdt>
        <w:sdtPr>
          <w:rPr>
            <w:rFonts w:asciiTheme="majorBidi" w:hAnsiTheme="majorBidi" w:cstheme="majorBidi"/>
            <w:sz w:val="24"/>
            <w:szCs w:val="24"/>
            <w:lang w:bidi="ar-EG"/>
          </w:rPr>
          <w:id w:val="392644928"/>
          <w:citation/>
        </w:sdtPr>
        <w:sdtContent>
          <w:r w:rsidR="001919A5" w:rsidRPr="002D0908">
            <w:rPr>
              <w:rFonts w:asciiTheme="majorBidi" w:hAnsiTheme="majorBidi" w:cstheme="majorBidi"/>
              <w:sz w:val="24"/>
              <w:szCs w:val="24"/>
              <w:lang w:bidi="ar-EG"/>
            </w:rPr>
            <w:fldChar w:fldCharType="begin"/>
          </w:r>
          <w:r w:rsidR="00972DFB" w:rsidRPr="002D0908">
            <w:rPr>
              <w:rFonts w:asciiTheme="majorBidi" w:hAnsiTheme="majorBidi" w:cstheme="majorBidi"/>
              <w:sz w:val="24"/>
              <w:szCs w:val="24"/>
              <w:lang w:bidi="ar-EG"/>
            </w:rPr>
            <w:instrText xml:space="preserve"> CITATION Kin01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(Kindberg H, 2001)</w:t>
          </w:r>
          <w:r w:rsidR="001919A5" w:rsidRPr="002D0908">
            <w:rPr>
              <w:rFonts w:asciiTheme="majorBidi" w:hAnsiTheme="majorBidi" w:cstheme="majorBidi"/>
              <w:sz w:val="24"/>
              <w:szCs w:val="24"/>
              <w:lang w:bidi="ar-EG"/>
            </w:rPr>
            <w:fldChar w:fldCharType="end"/>
          </w:r>
        </w:sdtContent>
      </w:sdt>
      <w:r w:rsidRPr="002D0908">
        <w:rPr>
          <w:rFonts w:asciiTheme="majorBidi" w:hAnsiTheme="majorBidi" w:cstheme="majorBidi"/>
          <w:sz w:val="24"/>
          <w:szCs w:val="24"/>
          <w:lang w:bidi="ar-EG"/>
        </w:rPr>
        <w:t xml:space="preserve">. </w:t>
      </w:r>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It was also reported that the use of keyway attachments was associated with teeth intrusion, which occurred in 20% of the cases when natural teeth were connected to implants</w:t>
      </w:r>
      <w:r w:rsidR="007B6B64" w:rsidRPr="002D0908">
        <w:rPr>
          <w:rFonts w:asciiTheme="majorBidi" w:hAnsiTheme="majorBidi" w:cstheme="majorBidi"/>
          <w:sz w:val="24"/>
          <w:szCs w:val="24"/>
          <w:lang w:bidi="ar-EG"/>
        </w:rPr>
        <w:t xml:space="preserve"> </w:t>
      </w:r>
      <w:sdt>
        <w:sdtPr>
          <w:rPr>
            <w:rFonts w:asciiTheme="majorBidi" w:hAnsiTheme="majorBidi" w:cstheme="majorBidi"/>
            <w:sz w:val="24"/>
            <w:szCs w:val="24"/>
            <w:lang w:bidi="ar-EG"/>
          </w:rPr>
          <w:id w:val="392649183"/>
          <w:citation/>
        </w:sdtPr>
        <w:sdtContent>
          <w:r w:rsidR="001919A5" w:rsidRPr="002D0908">
            <w:rPr>
              <w:rFonts w:asciiTheme="majorBidi" w:hAnsiTheme="majorBidi" w:cstheme="majorBidi"/>
              <w:sz w:val="24"/>
              <w:szCs w:val="24"/>
              <w:lang w:bidi="ar-EG"/>
            </w:rPr>
            <w:fldChar w:fldCharType="begin"/>
          </w:r>
          <w:r w:rsidR="007B6B64" w:rsidRPr="002D0908">
            <w:rPr>
              <w:rFonts w:asciiTheme="majorBidi" w:hAnsiTheme="majorBidi" w:cstheme="majorBidi"/>
              <w:sz w:val="24"/>
              <w:szCs w:val="24"/>
              <w:lang w:bidi="ar-EG"/>
            </w:rPr>
            <w:instrText xml:space="preserve"> CITATION Ste90 \l 1033 </w:instrText>
          </w:r>
          <w:r w:rsidR="001919A5" w:rsidRPr="002D0908">
            <w:rPr>
              <w:rFonts w:asciiTheme="majorBidi" w:hAnsiTheme="majorBidi" w:cstheme="majorBidi"/>
              <w:sz w:val="24"/>
              <w:szCs w:val="24"/>
              <w:lang w:bidi="ar-EG"/>
            </w:rPr>
            <w:fldChar w:fldCharType="separate"/>
          </w:r>
          <w:r w:rsidR="007B6B64" w:rsidRPr="002D0908">
            <w:rPr>
              <w:rFonts w:asciiTheme="majorBidi" w:hAnsiTheme="majorBidi" w:cstheme="majorBidi"/>
              <w:noProof/>
              <w:sz w:val="24"/>
              <w:szCs w:val="24"/>
              <w:lang w:bidi="ar-EG"/>
            </w:rPr>
            <w:t>(Steen D, 1990)</w:t>
          </w:r>
          <w:r w:rsidR="001919A5" w:rsidRPr="002D0908">
            <w:rPr>
              <w:rFonts w:asciiTheme="majorBidi" w:hAnsiTheme="majorBidi" w:cstheme="majorBidi"/>
              <w:sz w:val="24"/>
              <w:szCs w:val="24"/>
              <w:lang w:bidi="ar-EG"/>
            </w:rPr>
            <w:fldChar w:fldCharType="end"/>
          </w:r>
        </w:sdtContent>
      </w:sdt>
      <w:r w:rsidR="007B6B64" w:rsidRPr="002D0908">
        <w:rPr>
          <w:rFonts w:asciiTheme="majorBidi" w:hAnsiTheme="majorBidi" w:cstheme="majorBidi"/>
          <w:sz w:val="24"/>
          <w:szCs w:val="24"/>
          <w:lang w:bidi="ar-EG"/>
        </w:rPr>
        <w:t xml:space="preserve"> and </w:t>
      </w:r>
      <w:sdt>
        <w:sdtPr>
          <w:rPr>
            <w:rFonts w:asciiTheme="majorBidi" w:hAnsiTheme="majorBidi" w:cstheme="majorBidi"/>
            <w:sz w:val="24"/>
            <w:szCs w:val="24"/>
            <w:lang w:bidi="ar-EG"/>
          </w:rPr>
          <w:id w:val="392649182"/>
          <w:citation/>
        </w:sdtPr>
        <w:sdtContent>
          <w:r w:rsidR="001919A5" w:rsidRPr="002D0908">
            <w:rPr>
              <w:rFonts w:asciiTheme="majorBidi" w:hAnsiTheme="majorBidi" w:cstheme="majorBidi"/>
              <w:sz w:val="24"/>
              <w:szCs w:val="24"/>
              <w:lang w:bidi="ar-EG"/>
            </w:rPr>
            <w:fldChar w:fldCharType="begin"/>
          </w:r>
          <w:r w:rsidR="007B6B64" w:rsidRPr="002D0908">
            <w:rPr>
              <w:rFonts w:asciiTheme="majorBidi" w:hAnsiTheme="majorBidi" w:cstheme="majorBidi"/>
              <w:sz w:val="24"/>
              <w:szCs w:val="24"/>
              <w:lang w:bidi="ar-EG"/>
            </w:rPr>
            <w:instrText xml:space="preserve"> CITATION Ric95 \l 1033 </w:instrText>
          </w:r>
          <w:r w:rsidR="001919A5" w:rsidRPr="002D0908">
            <w:rPr>
              <w:rFonts w:asciiTheme="majorBidi" w:hAnsiTheme="majorBidi" w:cstheme="majorBidi"/>
              <w:sz w:val="24"/>
              <w:szCs w:val="24"/>
              <w:lang w:bidi="ar-EG"/>
            </w:rPr>
            <w:fldChar w:fldCharType="separate"/>
          </w:r>
          <w:r w:rsidR="007B6B64" w:rsidRPr="002D0908">
            <w:rPr>
              <w:rFonts w:asciiTheme="majorBidi" w:hAnsiTheme="majorBidi" w:cstheme="majorBidi"/>
              <w:noProof/>
              <w:sz w:val="24"/>
              <w:szCs w:val="24"/>
              <w:lang w:bidi="ar-EG"/>
            </w:rPr>
            <w:t>(Richter, 1995)</w:t>
          </w:r>
          <w:r w:rsidR="001919A5" w:rsidRPr="002D0908">
            <w:rPr>
              <w:rFonts w:asciiTheme="majorBidi" w:hAnsiTheme="majorBidi" w:cstheme="majorBidi"/>
              <w:sz w:val="24"/>
              <w:szCs w:val="24"/>
              <w:lang w:bidi="ar-EG"/>
            </w:rPr>
            <w:fldChar w:fldCharType="end"/>
          </w:r>
        </w:sdtContent>
      </w:sdt>
      <w:r w:rsidR="007B6B64" w:rsidRPr="002D0908">
        <w:rPr>
          <w:rFonts w:asciiTheme="majorBidi" w:hAnsiTheme="majorBidi" w:cstheme="majorBidi"/>
          <w:sz w:val="24"/>
          <w:szCs w:val="24"/>
          <w:lang w:bidi="ar-EG"/>
        </w:rPr>
        <w:t xml:space="preserve"> </w:t>
      </w:r>
      <w:r w:rsidRPr="002D0908">
        <w:rPr>
          <w:rFonts w:asciiTheme="majorBidi" w:hAnsiTheme="majorBidi" w:cstheme="majorBidi"/>
          <w:sz w:val="24"/>
          <w:szCs w:val="24"/>
          <w:lang w:bidi="ar-EG"/>
        </w:rPr>
        <w:t>, so</w:t>
      </w:r>
      <w:r w:rsidR="007B6B64" w:rsidRPr="002D0908">
        <w:rPr>
          <w:rFonts w:asciiTheme="majorBidi" w:hAnsiTheme="majorBidi" w:cstheme="majorBidi"/>
          <w:sz w:val="24"/>
          <w:szCs w:val="24"/>
          <w:lang w:bidi="ar-EG"/>
        </w:rPr>
        <w:t xml:space="preserve"> combining implants and teeth using rigid forms of connection to prevent tooth intrusion was advocated by</w:t>
      </w:r>
      <w:sdt>
        <w:sdtPr>
          <w:rPr>
            <w:rFonts w:asciiTheme="majorBidi" w:hAnsiTheme="majorBidi" w:cstheme="majorBidi"/>
            <w:sz w:val="24"/>
            <w:szCs w:val="24"/>
            <w:lang w:bidi="ar-EG"/>
          </w:rPr>
          <w:id w:val="392649181"/>
          <w:citation/>
        </w:sdtPr>
        <w:sdtContent>
          <w:r w:rsidR="001919A5" w:rsidRPr="002D0908">
            <w:rPr>
              <w:rFonts w:asciiTheme="majorBidi" w:hAnsiTheme="majorBidi" w:cstheme="majorBidi"/>
              <w:sz w:val="24"/>
              <w:szCs w:val="24"/>
              <w:lang w:bidi="ar-EG"/>
            </w:rPr>
            <w:fldChar w:fldCharType="begin"/>
          </w:r>
          <w:r w:rsidR="007B6B64" w:rsidRPr="002D0908">
            <w:rPr>
              <w:rFonts w:asciiTheme="majorBidi" w:hAnsiTheme="majorBidi" w:cstheme="majorBidi"/>
              <w:sz w:val="24"/>
              <w:szCs w:val="24"/>
              <w:lang w:bidi="ar-EG"/>
            </w:rPr>
            <w:instrText xml:space="preserve"> CITATION Lin01 \l 1033 </w:instrText>
          </w:r>
          <w:r w:rsidR="001919A5" w:rsidRPr="002D0908">
            <w:rPr>
              <w:rFonts w:asciiTheme="majorBidi" w:hAnsiTheme="majorBidi" w:cstheme="majorBidi"/>
              <w:sz w:val="24"/>
              <w:szCs w:val="24"/>
              <w:lang w:bidi="ar-EG"/>
            </w:rPr>
            <w:fldChar w:fldCharType="separate"/>
          </w:r>
          <w:r w:rsidR="007B6B64" w:rsidRPr="002D0908">
            <w:rPr>
              <w:rFonts w:asciiTheme="majorBidi" w:hAnsiTheme="majorBidi" w:cstheme="majorBidi"/>
              <w:noProof/>
              <w:sz w:val="24"/>
              <w:szCs w:val="24"/>
              <w:lang w:bidi="ar-EG"/>
            </w:rPr>
            <w:t xml:space="preserve"> (Lindh T D. S., 2001)</w:t>
          </w:r>
          <w:r w:rsidR="001919A5" w:rsidRPr="002D0908">
            <w:rPr>
              <w:rFonts w:asciiTheme="majorBidi" w:hAnsiTheme="majorBidi" w:cstheme="majorBidi"/>
              <w:sz w:val="24"/>
              <w:szCs w:val="24"/>
              <w:lang w:bidi="ar-EG"/>
            </w:rPr>
            <w:fldChar w:fldCharType="end"/>
          </w:r>
        </w:sdtContent>
      </w:sdt>
      <w:r w:rsidRPr="002D0908">
        <w:rPr>
          <w:rFonts w:asciiTheme="majorBidi" w:hAnsiTheme="majorBidi" w:cstheme="majorBidi"/>
          <w:sz w:val="24"/>
          <w:szCs w:val="24"/>
          <w:lang w:bidi="ar-EG"/>
        </w:rPr>
        <w:t xml:space="preserve"> and</w:t>
      </w:r>
      <w:r w:rsidR="00972DFB" w:rsidRPr="002D0908">
        <w:rPr>
          <w:rFonts w:asciiTheme="majorBidi" w:hAnsiTheme="majorBidi" w:cstheme="majorBidi"/>
          <w:sz w:val="24"/>
          <w:szCs w:val="24"/>
          <w:vertAlign w:val="superscript"/>
          <w:lang w:bidi="ar-EG"/>
        </w:rPr>
        <w:t xml:space="preserve"> </w:t>
      </w:r>
      <w:sdt>
        <w:sdtPr>
          <w:rPr>
            <w:rFonts w:asciiTheme="majorBidi" w:hAnsiTheme="majorBidi" w:cstheme="majorBidi"/>
            <w:sz w:val="24"/>
            <w:szCs w:val="24"/>
            <w:vertAlign w:val="superscript"/>
            <w:lang w:bidi="ar-EG"/>
          </w:rPr>
          <w:id w:val="392649179"/>
          <w:citation/>
        </w:sdtPr>
        <w:sdtContent>
          <w:r w:rsidR="001919A5" w:rsidRPr="002D0908">
            <w:rPr>
              <w:rFonts w:asciiTheme="majorBidi" w:hAnsiTheme="majorBidi" w:cstheme="majorBidi"/>
              <w:sz w:val="24"/>
              <w:szCs w:val="24"/>
              <w:vertAlign w:val="superscript"/>
              <w:lang w:bidi="ar-EG"/>
            </w:rPr>
            <w:fldChar w:fldCharType="begin"/>
          </w:r>
          <w:r w:rsidR="00972DFB" w:rsidRPr="002D0908">
            <w:rPr>
              <w:rFonts w:asciiTheme="majorBidi" w:hAnsiTheme="majorBidi" w:cstheme="majorBidi"/>
              <w:sz w:val="24"/>
              <w:szCs w:val="24"/>
              <w:lang w:bidi="ar-EG"/>
            </w:rPr>
            <w:instrText xml:space="preserve"> CITATION Akc06 \l 1033 </w:instrText>
          </w:r>
          <w:r w:rsidR="001919A5" w:rsidRPr="002D0908">
            <w:rPr>
              <w:rFonts w:asciiTheme="majorBidi" w:hAnsiTheme="majorBidi" w:cstheme="majorBidi"/>
              <w:sz w:val="24"/>
              <w:szCs w:val="24"/>
              <w:vertAlign w:val="superscript"/>
              <w:lang w:bidi="ar-EG"/>
            </w:rPr>
            <w:fldChar w:fldCharType="separate"/>
          </w:r>
          <w:r w:rsidR="00972DFB" w:rsidRPr="002D0908">
            <w:rPr>
              <w:rFonts w:asciiTheme="majorBidi" w:hAnsiTheme="majorBidi" w:cstheme="majorBidi"/>
              <w:noProof/>
              <w:sz w:val="24"/>
              <w:szCs w:val="24"/>
              <w:lang w:bidi="ar-EG"/>
            </w:rPr>
            <w:t>(Akca K, 2006)</w:t>
          </w:r>
          <w:r w:rsidR="001919A5" w:rsidRPr="002D0908">
            <w:rPr>
              <w:rFonts w:asciiTheme="majorBidi" w:hAnsiTheme="majorBidi" w:cstheme="majorBidi"/>
              <w:sz w:val="24"/>
              <w:szCs w:val="24"/>
              <w:vertAlign w:val="superscript"/>
              <w:lang w:bidi="ar-EG"/>
            </w:rPr>
            <w:fldChar w:fldCharType="end"/>
          </w:r>
        </w:sdtContent>
      </w:sdt>
      <w:r w:rsidR="007B6B64" w:rsidRPr="002D0908">
        <w:rPr>
          <w:rFonts w:asciiTheme="majorBidi" w:hAnsiTheme="majorBidi" w:cstheme="majorBidi"/>
          <w:sz w:val="24"/>
          <w:szCs w:val="24"/>
          <w:lang w:bidi="ar-EG"/>
        </w:rPr>
        <w:t xml:space="preserve"> </w:t>
      </w:r>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 xml:space="preserve">However, many authors found no significant difference on using either rigid or non-rigid connectors, as </w:t>
      </w:r>
      <w:sdt>
        <w:sdtPr>
          <w:rPr>
            <w:rFonts w:asciiTheme="majorBidi" w:hAnsiTheme="majorBidi" w:cstheme="majorBidi"/>
            <w:sz w:val="24"/>
            <w:szCs w:val="24"/>
            <w:lang w:bidi="ar-EG"/>
          </w:rPr>
          <w:id w:val="392645919"/>
          <w:citation/>
        </w:sdtPr>
        <w:sdtContent>
          <w:r w:rsidR="001919A5" w:rsidRPr="002D0908">
            <w:rPr>
              <w:rFonts w:asciiTheme="majorBidi" w:hAnsiTheme="majorBidi" w:cstheme="majorBidi"/>
              <w:sz w:val="24"/>
              <w:szCs w:val="24"/>
              <w:lang w:bidi="ar-EG"/>
            </w:rPr>
            <w:fldChar w:fldCharType="begin"/>
          </w:r>
          <w:r w:rsidR="00972DFB" w:rsidRPr="002D0908">
            <w:rPr>
              <w:rFonts w:asciiTheme="majorBidi" w:hAnsiTheme="majorBidi" w:cstheme="majorBidi"/>
              <w:sz w:val="24"/>
              <w:szCs w:val="24"/>
              <w:lang w:bidi="ar-EG"/>
            </w:rPr>
            <w:instrText xml:space="preserve"> CITATION Rus99 \l 1033 </w:instrText>
          </w:r>
          <w:r w:rsidR="001919A5" w:rsidRPr="002D0908">
            <w:rPr>
              <w:rFonts w:asciiTheme="majorBidi" w:hAnsiTheme="majorBidi" w:cstheme="majorBidi"/>
              <w:sz w:val="24"/>
              <w:szCs w:val="24"/>
              <w:lang w:bidi="ar-EG"/>
            </w:rPr>
            <w:fldChar w:fldCharType="separate"/>
          </w:r>
          <w:r w:rsidR="00972DFB" w:rsidRPr="002D0908">
            <w:rPr>
              <w:rFonts w:asciiTheme="majorBidi" w:hAnsiTheme="majorBidi" w:cstheme="majorBidi"/>
              <w:noProof/>
              <w:sz w:val="24"/>
              <w:szCs w:val="24"/>
              <w:lang w:bidi="ar-EG"/>
            </w:rPr>
            <w:t>(Russell D, 1999)</w:t>
          </w:r>
          <w:r w:rsidR="001919A5" w:rsidRPr="002D0908">
            <w:rPr>
              <w:rFonts w:asciiTheme="majorBidi" w:hAnsiTheme="majorBidi" w:cstheme="majorBidi"/>
              <w:sz w:val="24"/>
              <w:szCs w:val="24"/>
              <w:lang w:bidi="ar-EG"/>
            </w:rPr>
            <w:fldChar w:fldCharType="end"/>
          </w:r>
        </w:sdtContent>
      </w:sdt>
      <w:r w:rsidR="00972DFB" w:rsidRPr="002D0908">
        <w:rPr>
          <w:rFonts w:asciiTheme="majorBidi" w:hAnsiTheme="majorBidi" w:cstheme="majorBidi"/>
          <w:sz w:val="24"/>
          <w:szCs w:val="24"/>
          <w:lang w:bidi="ar-EG"/>
        </w:rPr>
        <w:t xml:space="preserve"> </w:t>
      </w:r>
      <w:r w:rsidRPr="002D0908">
        <w:rPr>
          <w:rFonts w:asciiTheme="majorBidi" w:hAnsiTheme="majorBidi" w:cstheme="majorBidi"/>
          <w:sz w:val="24"/>
          <w:szCs w:val="24"/>
          <w:lang w:bidi="ar-EG"/>
        </w:rPr>
        <w:t xml:space="preserve">who stated that loading of abutment in rigid and </w:t>
      </w:r>
      <w:r w:rsidRPr="002D0908">
        <w:rPr>
          <w:rFonts w:asciiTheme="majorBidi" w:hAnsiTheme="majorBidi" w:cstheme="majorBidi"/>
          <w:sz w:val="24"/>
          <w:szCs w:val="24"/>
          <w:lang w:bidi="ar-EG"/>
        </w:rPr>
        <w:lastRenderedPageBreak/>
        <w:t>in non-rigid implant-tooth connection generates similar stresses apical to the tooth and to the implant, similar to that found with normal teeth; indicating adequate distribution of stresses for both rigid and non-rigid connections.  In addition, there was no statistical significant difference between mean percentage changes in bone density around implant or the natural abutment connected either with rigid or non-rigid connection with implants.</w:t>
      </w:r>
    </w:p>
    <w:p w:rsidR="00BF2D83" w:rsidRPr="002D0908" w:rsidRDefault="00BF2D83" w:rsidP="00D87ACB">
      <w:pPr>
        <w:bidi w:val="0"/>
        <w:spacing w:after="0" w:line="360" w:lineRule="auto"/>
        <w:jc w:val="both"/>
        <w:rPr>
          <w:rFonts w:asciiTheme="majorBidi" w:hAnsiTheme="majorBidi" w:cstheme="majorBidi"/>
          <w:sz w:val="24"/>
          <w:szCs w:val="24"/>
          <w:lang w:bidi="ar-EG"/>
        </w:rPr>
      </w:pPr>
      <w:r w:rsidRPr="002D0908">
        <w:rPr>
          <w:rFonts w:asciiTheme="majorBidi" w:hAnsiTheme="majorBidi" w:cstheme="majorBidi"/>
          <w:sz w:val="24"/>
          <w:szCs w:val="24"/>
          <w:lang w:bidi="ar-EG"/>
        </w:rPr>
        <w:t xml:space="preserve"> </w:t>
      </w:r>
    </w:p>
    <w:p w:rsidR="00BF2D83" w:rsidRPr="002D0908" w:rsidRDefault="00BF2D83" w:rsidP="00D87ACB">
      <w:pPr>
        <w:bidi w:val="0"/>
        <w:spacing w:after="0" w:line="360" w:lineRule="auto"/>
        <w:jc w:val="both"/>
        <w:rPr>
          <w:rFonts w:asciiTheme="majorBidi" w:hAnsiTheme="majorBidi" w:cstheme="majorBidi"/>
          <w:b/>
          <w:bCs/>
          <w:sz w:val="24"/>
          <w:szCs w:val="24"/>
        </w:rPr>
      </w:pPr>
      <w:r w:rsidRPr="002D0908">
        <w:rPr>
          <w:rFonts w:asciiTheme="majorBidi" w:hAnsiTheme="majorBidi" w:cstheme="majorBidi"/>
          <w:b/>
          <w:bCs/>
          <w:sz w:val="24"/>
          <w:szCs w:val="24"/>
        </w:rPr>
        <w:t>Conclusions</w:t>
      </w:r>
    </w:p>
    <w:p w:rsidR="00BF2D83" w:rsidRPr="002D0908" w:rsidRDefault="00BF2D83" w:rsidP="002D0908">
      <w:pPr>
        <w:bidi w:val="0"/>
        <w:spacing w:after="0" w:line="360" w:lineRule="auto"/>
        <w:ind w:firstLine="720"/>
        <w:jc w:val="both"/>
        <w:rPr>
          <w:rFonts w:asciiTheme="majorBidi" w:hAnsiTheme="majorBidi" w:cstheme="majorBidi"/>
          <w:sz w:val="28"/>
          <w:szCs w:val="28"/>
        </w:rPr>
      </w:pPr>
      <w:r w:rsidRPr="002D0908">
        <w:rPr>
          <w:rFonts w:asciiTheme="majorBidi" w:hAnsiTheme="majorBidi" w:cstheme="majorBidi"/>
          <w:sz w:val="24"/>
          <w:szCs w:val="24"/>
        </w:rPr>
        <w:t xml:space="preserve">It was concluded that non-rigid connector should be used with caution since it breaks the stress transfer and increases the unfavorable Stress values in the implant system and prosthesis. Results also implied that a non-rigid connector may not be necessary to accommodate dissimilar mobility characteristics when </w:t>
      </w:r>
      <w:proofErr w:type="spellStart"/>
      <w:r w:rsidRPr="002D0908">
        <w:rPr>
          <w:rFonts w:asciiTheme="majorBidi" w:hAnsiTheme="majorBidi" w:cstheme="majorBidi"/>
          <w:sz w:val="24"/>
          <w:szCs w:val="24"/>
        </w:rPr>
        <w:t>occlusal</w:t>
      </w:r>
      <w:proofErr w:type="spellEnd"/>
      <w:r w:rsidRPr="002D0908">
        <w:rPr>
          <w:rFonts w:asciiTheme="majorBidi" w:hAnsiTheme="majorBidi" w:cstheme="majorBidi"/>
          <w:sz w:val="24"/>
          <w:szCs w:val="24"/>
        </w:rPr>
        <w:t xml:space="preserve"> forces act on the entire splinting system, since a rigid connection seems to possess this ability, in addition it distributes </w:t>
      </w:r>
      <w:proofErr w:type="spellStart"/>
      <w:r w:rsidRPr="002D0908">
        <w:rPr>
          <w:rFonts w:asciiTheme="majorBidi" w:hAnsiTheme="majorBidi" w:cstheme="majorBidi"/>
          <w:sz w:val="24"/>
          <w:szCs w:val="24"/>
        </w:rPr>
        <w:t>occlusal</w:t>
      </w:r>
      <w:proofErr w:type="spellEnd"/>
      <w:r w:rsidRPr="002D0908">
        <w:rPr>
          <w:rFonts w:asciiTheme="majorBidi" w:hAnsiTheme="majorBidi" w:cstheme="majorBidi"/>
          <w:sz w:val="24"/>
          <w:szCs w:val="24"/>
        </w:rPr>
        <w:t xml:space="preserve"> forces equally between different prosthesis components; thus preventing overloading on one of its components</w:t>
      </w:r>
      <w:r w:rsidRPr="002D0908">
        <w:rPr>
          <w:rFonts w:asciiTheme="majorBidi" w:hAnsiTheme="majorBidi" w:cstheme="majorBidi"/>
          <w:sz w:val="28"/>
          <w:szCs w:val="28"/>
        </w:rPr>
        <w:t>.</w:t>
      </w:r>
    </w:p>
    <w:p w:rsidR="00B93FEA" w:rsidRPr="002D0908" w:rsidRDefault="00BF2D83" w:rsidP="00D87ACB">
      <w:pPr>
        <w:bidi w:val="0"/>
        <w:spacing w:after="0" w:line="480" w:lineRule="auto"/>
        <w:jc w:val="both"/>
        <w:rPr>
          <w:rFonts w:asciiTheme="majorBidi" w:hAnsiTheme="majorBidi" w:cstheme="majorBidi"/>
          <w:b/>
          <w:bCs/>
          <w:sz w:val="28"/>
          <w:szCs w:val="28"/>
        </w:rPr>
      </w:pPr>
      <w:r w:rsidRPr="002D0908">
        <w:rPr>
          <w:rFonts w:asciiTheme="majorBidi" w:hAnsiTheme="majorBidi" w:cstheme="majorBidi"/>
          <w:b/>
          <w:bCs/>
          <w:sz w:val="28"/>
          <w:szCs w:val="28"/>
        </w:rPr>
        <w:t>References:</w:t>
      </w:r>
      <w:r w:rsidR="00B93FEA" w:rsidRPr="002D0908">
        <w:rPr>
          <w:rFonts w:asciiTheme="majorBidi" w:hAnsiTheme="majorBidi" w:cstheme="majorBidi"/>
        </w:rPr>
        <w:t xml:space="preserve"> </w:t>
      </w:r>
    </w:p>
    <w:p w:rsidR="00972DFB" w:rsidRPr="002D0908" w:rsidRDefault="001919A5" w:rsidP="00D87ACB">
      <w:pPr>
        <w:pStyle w:val="Bibliography"/>
        <w:bidi w:val="0"/>
        <w:jc w:val="both"/>
        <w:rPr>
          <w:rFonts w:asciiTheme="majorBidi" w:hAnsiTheme="majorBidi" w:cstheme="majorBidi"/>
          <w:noProof/>
        </w:rPr>
      </w:pPr>
      <w:r w:rsidRPr="002D0908">
        <w:rPr>
          <w:rFonts w:asciiTheme="majorBidi" w:hAnsiTheme="majorBidi" w:cstheme="majorBidi"/>
        </w:rPr>
        <w:fldChar w:fldCharType="begin"/>
      </w:r>
      <w:r w:rsidR="00B93FEA" w:rsidRPr="002D0908">
        <w:rPr>
          <w:rFonts w:asciiTheme="majorBidi" w:hAnsiTheme="majorBidi" w:cstheme="majorBidi"/>
        </w:rPr>
        <w:instrText xml:space="preserve"> BIBLIOGRAPHY  \l 1033 </w:instrText>
      </w:r>
      <w:r w:rsidRPr="002D0908">
        <w:rPr>
          <w:rFonts w:asciiTheme="majorBidi" w:hAnsiTheme="majorBidi" w:cstheme="majorBidi"/>
        </w:rPr>
        <w:fldChar w:fldCharType="separate"/>
      </w:r>
      <w:r w:rsidR="00972DFB" w:rsidRPr="002D0908">
        <w:rPr>
          <w:rFonts w:asciiTheme="majorBidi" w:hAnsiTheme="majorBidi" w:cstheme="majorBidi"/>
          <w:noProof/>
        </w:rPr>
        <w:t xml:space="preserve">Adell R, E. B. (1990). long-term follow up study of osseointegrated implants in the treatment of totally edentulous jaws. </w:t>
      </w:r>
      <w:r w:rsidR="00972DFB" w:rsidRPr="002D0908">
        <w:rPr>
          <w:rFonts w:asciiTheme="majorBidi" w:hAnsiTheme="majorBidi" w:cstheme="majorBidi"/>
          <w:i/>
          <w:iCs/>
          <w:noProof/>
        </w:rPr>
        <w:t>Int J Oral and Maxillofac Implants</w:t>
      </w:r>
      <w:r w:rsidR="00972DFB" w:rsidRPr="002D0908">
        <w:rPr>
          <w:rFonts w:asciiTheme="majorBidi" w:hAnsiTheme="majorBidi" w:cstheme="majorBidi"/>
          <w:noProof/>
        </w:rPr>
        <w:t xml:space="preserve"> </w:t>
      </w:r>
      <w:r w:rsidR="00972DFB" w:rsidRPr="002D0908">
        <w:rPr>
          <w:rFonts w:asciiTheme="majorBidi" w:hAnsiTheme="majorBidi" w:cstheme="majorBidi"/>
          <w:i/>
          <w:iCs/>
          <w:noProof/>
        </w:rPr>
        <w:t>, 5</w:t>
      </w:r>
      <w:r w:rsidR="00972DFB" w:rsidRPr="002D0908">
        <w:rPr>
          <w:rFonts w:asciiTheme="majorBidi" w:hAnsiTheme="majorBidi" w:cstheme="majorBidi"/>
          <w:noProof/>
        </w:rPr>
        <w:t>, 347-59.</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Akca K, U. S. (2006). Implant-tooth supported fixed partial prostheses: correlations between in vivo occlusal bite forces and marginal bone reactions. </w:t>
      </w:r>
      <w:r w:rsidRPr="002D0908">
        <w:rPr>
          <w:rFonts w:asciiTheme="majorBidi" w:hAnsiTheme="majorBidi" w:cstheme="majorBidi"/>
          <w:i/>
          <w:iCs/>
          <w:noProof/>
        </w:rPr>
        <w:t>Clin Oral Implants res</w:t>
      </w:r>
      <w:r w:rsidRPr="002D0908">
        <w:rPr>
          <w:rFonts w:asciiTheme="majorBidi" w:hAnsiTheme="majorBidi" w:cstheme="majorBidi"/>
          <w:noProof/>
        </w:rPr>
        <w:t xml:space="preserve"> </w:t>
      </w:r>
      <w:r w:rsidRPr="002D0908">
        <w:rPr>
          <w:rFonts w:asciiTheme="majorBidi" w:hAnsiTheme="majorBidi" w:cstheme="majorBidi"/>
          <w:i/>
          <w:iCs/>
          <w:noProof/>
        </w:rPr>
        <w:t>, 17</w:t>
      </w:r>
      <w:r w:rsidRPr="002D0908">
        <w:rPr>
          <w:rFonts w:asciiTheme="majorBidi" w:hAnsiTheme="majorBidi" w:cstheme="majorBidi"/>
          <w:noProof/>
        </w:rPr>
        <w:t>, 331-336.</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Angelopoulos C, T. S. (2008 ). Comparison between digital panoramic radiography and cone</w:t>
      </w:r>
      <w:r w:rsidRPr="002D0908">
        <w:rPr>
          <w:rFonts w:ascii="Cambria Math" w:hAnsi="Cambria Math" w:cstheme="majorBidi"/>
          <w:noProof/>
        </w:rPr>
        <w:t>‐</w:t>
      </w:r>
      <w:r w:rsidRPr="002D0908">
        <w:rPr>
          <w:rFonts w:asciiTheme="majorBidi" w:hAnsiTheme="majorBidi" w:cstheme="majorBidi"/>
          <w:noProof/>
        </w:rPr>
        <w:t xml:space="preserve">beam computed tomography for the identification of the mandibular canal as part of presurgical dental implant assessment. </w:t>
      </w:r>
      <w:r w:rsidRPr="002D0908">
        <w:rPr>
          <w:rFonts w:asciiTheme="majorBidi" w:hAnsiTheme="majorBidi" w:cstheme="majorBidi"/>
          <w:i/>
          <w:iCs/>
          <w:noProof/>
        </w:rPr>
        <w:t>J Oral and Maxillofac Surg</w:t>
      </w:r>
      <w:r w:rsidRPr="002D0908">
        <w:rPr>
          <w:rFonts w:asciiTheme="majorBidi" w:hAnsiTheme="majorBidi" w:cstheme="majorBidi"/>
          <w:noProof/>
        </w:rPr>
        <w:t xml:space="preserve"> </w:t>
      </w:r>
      <w:r w:rsidRPr="002D0908">
        <w:rPr>
          <w:rFonts w:asciiTheme="majorBidi" w:hAnsiTheme="majorBidi" w:cstheme="majorBidi"/>
          <w:i/>
          <w:iCs/>
          <w:noProof/>
        </w:rPr>
        <w:t>, 66(10)</w:t>
      </w:r>
      <w:r w:rsidRPr="002D0908">
        <w:rPr>
          <w:rFonts w:asciiTheme="majorBidi" w:hAnsiTheme="majorBidi" w:cstheme="majorBidi"/>
          <w:noProof/>
        </w:rPr>
        <w:t>, 2130</w:t>
      </w:r>
      <w:r w:rsidRPr="002D0908">
        <w:rPr>
          <w:rFonts w:ascii="Cambria Math" w:hAnsi="Cambria Math" w:cstheme="majorBidi"/>
          <w:noProof/>
        </w:rPr>
        <w:t>‐</w:t>
      </w:r>
      <w:r w:rsidRPr="002D0908">
        <w:rPr>
          <w:rFonts w:asciiTheme="majorBidi" w:hAnsiTheme="majorBidi" w:cstheme="majorBidi"/>
          <w:noProof/>
        </w:rPr>
        <w:t>5.</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Aranyarachkul P, C. J. (2005). Bone density assessments of dental implant sites: 2. Quantitative cone</w:t>
      </w:r>
      <w:r w:rsidRPr="002D0908">
        <w:rPr>
          <w:rFonts w:ascii="Cambria Math" w:hAnsi="Cambria Math" w:cstheme="majorBidi"/>
          <w:noProof/>
        </w:rPr>
        <w:t>‐</w:t>
      </w:r>
      <w:r w:rsidRPr="002D0908">
        <w:rPr>
          <w:rFonts w:asciiTheme="majorBidi" w:hAnsiTheme="majorBidi" w:cstheme="majorBidi"/>
          <w:noProof/>
        </w:rPr>
        <w:t xml:space="preserve">beam computerized tomography. </w:t>
      </w:r>
      <w:r w:rsidRPr="002D0908">
        <w:rPr>
          <w:rFonts w:asciiTheme="majorBidi" w:hAnsiTheme="majorBidi" w:cstheme="majorBidi"/>
          <w:i/>
          <w:iCs/>
          <w:noProof/>
        </w:rPr>
        <w:t>Int J Oral and Maxillofac Implants</w:t>
      </w:r>
      <w:r w:rsidRPr="002D0908">
        <w:rPr>
          <w:rFonts w:asciiTheme="majorBidi" w:hAnsiTheme="majorBidi" w:cstheme="majorBidi"/>
          <w:noProof/>
        </w:rPr>
        <w:t xml:space="preserve"> </w:t>
      </w:r>
      <w:r w:rsidRPr="002D0908">
        <w:rPr>
          <w:rFonts w:asciiTheme="majorBidi" w:hAnsiTheme="majorBidi" w:cstheme="majorBidi"/>
          <w:i/>
          <w:iCs/>
          <w:noProof/>
        </w:rPr>
        <w:t>, 20(3)</w:t>
      </w:r>
      <w:r w:rsidRPr="002D0908">
        <w:rPr>
          <w:rFonts w:asciiTheme="majorBidi" w:hAnsiTheme="majorBidi" w:cstheme="majorBidi"/>
          <w:noProof/>
        </w:rPr>
        <w:t>, 416</w:t>
      </w:r>
      <w:r w:rsidRPr="002D0908">
        <w:rPr>
          <w:rFonts w:ascii="Cambria Math" w:hAnsi="Cambria Math" w:cstheme="majorBidi"/>
          <w:noProof/>
        </w:rPr>
        <w:t>‐</w:t>
      </w:r>
      <w:r w:rsidRPr="002D0908">
        <w:rPr>
          <w:rFonts w:asciiTheme="majorBidi" w:hAnsiTheme="majorBidi" w:cstheme="majorBidi"/>
          <w:noProof/>
        </w:rPr>
        <w:t>24.</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Aranyarachkul PCaruso J, G. B. (2005). Bone density assessments of dental implant sites: 2. Quantitative cone-beam computerized tomography. </w:t>
      </w:r>
      <w:r w:rsidRPr="002D0908">
        <w:rPr>
          <w:rFonts w:asciiTheme="majorBidi" w:hAnsiTheme="majorBidi" w:cstheme="majorBidi"/>
          <w:i/>
          <w:iCs/>
          <w:noProof/>
        </w:rPr>
        <w:t>International J Oral and Maxillofac Implants</w:t>
      </w:r>
      <w:r w:rsidRPr="002D0908">
        <w:rPr>
          <w:rFonts w:asciiTheme="majorBidi" w:hAnsiTheme="majorBidi" w:cstheme="majorBidi"/>
          <w:noProof/>
        </w:rPr>
        <w:t xml:space="preserve"> </w:t>
      </w:r>
      <w:r w:rsidRPr="002D0908">
        <w:rPr>
          <w:rFonts w:asciiTheme="majorBidi" w:hAnsiTheme="majorBidi" w:cstheme="majorBidi"/>
          <w:i/>
          <w:iCs/>
          <w:noProof/>
        </w:rPr>
        <w:t>, 20(3)</w:t>
      </w:r>
      <w:r w:rsidRPr="002D0908">
        <w:rPr>
          <w:rFonts w:asciiTheme="majorBidi" w:hAnsiTheme="majorBidi" w:cstheme="majorBidi"/>
          <w:noProof/>
        </w:rPr>
        <w:t>, 416-24.</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Becker C, K. D. (2000). Guidelines for splinting implants. </w:t>
      </w:r>
      <w:r w:rsidRPr="002D0908">
        <w:rPr>
          <w:rFonts w:asciiTheme="majorBidi" w:hAnsiTheme="majorBidi" w:cstheme="majorBidi"/>
          <w:i/>
          <w:iCs/>
          <w:noProof/>
        </w:rPr>
        <w:t>J Prosthet Dent</w:t>
      </w:r>
      <w:r w:rsidRPr="002D0908">
        <w:rPr>
          <w:rFonts w:asciiTheme="majorBidi" w:hAnsiTheme="majorBidi" w:cstheme="majorBidi"/>
          <w:noProof/>
        </w:rPr>
        <w:t xml:space="preserve"> </w:t>
      </w:r>
      <w:r w:rsidRPr="002D0908">
        <w:rPr>
          <w:rFonts w:asciiTheme="majorBidi" w:hAnsiTheme="majorBidi" w:cstheme="majorBidi"/>
          <w:i/>
          <w:iCs/>
          <w:noProof/>
        </w:rPr>
        <w:t>, 84</w:t>
      </w:r>
      <w:r w:rsidRPr="002D0908">
        <w:rPr>
          <w:rFonts w:asciiTheme="majorBidi" w:hAnsiTheme="majorBidi" w:cstheme="majorBidi"/>
          <w:noProof/>
        </w:rPr>
        <w:t>, 210-214.</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Carillo C, A. M. (2010). Tooth implant connection: Abibliographic review. . </w:t>
      </w:r>
      <w:r w:rsidRPr="002D0908">
        <w:rPr>
          <w:rFonts w:asciiTheme="majorBidi" w:hAnsiTheme="majorBidi" w:cstheme="majorBidi"/>
          <w:i/>
          <w:iCs/>
          <w:noProof/>
        </w:rPr>
        <w:t>Med Oral Patol Oral Cir Bucal</w:t>
      </w:r>
      <w:r w:rsidRPr="002D0908">
        <w:rPr>
          <w:rFonts w:asciiTheme="majorBidi" w:hAnsiTheme="majorBidi" w:cstheme="majorBidi"/>
          <w:noProof/>
        </w:rPr>
        <w:t xml:space="preserve"> </w:t>
      </w:r>
      <w:r w:rsidRPr="002D0908">
        <w:rPr>
          <w:rFonts w:asciiTheme="majorBidi" w:hAnsiTheme="majorBidi" w:cstheme="majorBidi"/>
          <w:i/>
          <w:iCs/>
          <w:noProof/>
        </w:rPr>
        <w:t>, 15</w:t>
      </w:r>
      <w:r w:rsidRPr="002D0908">
        <w:rPr>
          <w:rFonts w:asciiTheme="majorBidi" w:hAnsiTheme="majorBidi" w:cstheme="majorBidi"/>
          <w:noProof/>
        </w:rPr>
        <w:t>, 387-394.</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Clarh DF, C. S. (2006). The use of a dental implant as an abutment in three units implant-tooth supported fixed partial denture: a case report and 32 months follow up. </w:t>
      </w:r>
      <w:r w:rsidRPr="002D0908">
        <w:rPr>
          <w:rFonts w:asciiTheme="majorBidi" w:hAnsiTheme="majorBidi" w:cstheme="majorBidi"/>
          <w:i/>
          <w:iCs/>
          <w:noProof/>
        </w:rPr>
        <w:t>Aust Dent J , 3</w:t>
      </w:r>
      <w:r w:rsidRPr="002D0908">
        <w:rPr>
          <w:rFonts w:asciiTheme="majorBidi" w:hAnsiTheme="majorBidi" w:cstheme="majorBidi"/>
          <w:noProof/>
        </w:rPr>
        <w:t>, 263-276.</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lastRenderedPageBreak/>
        <w:t xml:space="preserve">Duyck J, N. I. (2001). The influence of static and dynamic loading on marginal bone reactions around osseointegrated implants: an animal experimental study. </w:t>
      </w:r>
      <w:r w:rsidRPr="002D0908">
        <w:rPr>
          <w:rFonts w:asciiTheme="majorBidi" w:hAnsiTheme="majorBidi" w:cstheme="majorBidi"/>
          <w:i/>
          <w:iCs/>
          <w:noProof/>
        </w:rPr>
        <w:t>Clin Oral Implants res</w:t>
      </w:r>
      <w:r w:rsidRPr="002D0908">
        <w:rPr>
          <w:rFonts w:asciiTheme="majorBidi" w:hAnsiTheme="majorBidi" w:cstheme="majorBidi"/>
          <w:noProof/>
        </w:rPr>
        <w:t xml:space="preserve"> </w:t>
      </w:r>
      <w:r w:rsidRPr="002D0908">
        <w:rPr>
          <w:rFonts w:asciiTheme="majorBidi" w:hAnsiTheme="majorBidi" w:cstheme="majorBidi"/>
          <w:i/>
          <w:iCs/>
          <w:noProof/>
        </w:rPr>
        <w:t>, 12</w:t>
      </w:r>
      <w:r w:rsidRPr="002D0908">
        <w:rPr>
          <w:rFonts w:asciiTheme="majorBidi" w:hAnsiTheme="majorBidi" w:cstheme="majorBidi"/>
          <w:noProof/>
        </w:rPr>
        <w:t>, 207-18.</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Gross M, L. B. (1997). Splinting osseointegrated implants and natural teeth in rehabilitation of partially edentulous patient. Part I: laboratory and clinical studies. </w:t>
      </w:r>
      <w:r w:rsidRPr="002D0908">
        <w:rPr>
          <w:rFonts w:asciiTheme="majorBidi" w:hAnsiTheme="majorBidi" w:cstheme="majorBidi"/>
          <w:i/>
          <w:iCs/>
          <w:noProof/>
        </w:rPr>
        <w:t>J Oral Rehabil</w:t>
      </w:r>
      <w:r w:rsidRPr="002D0908">
        <w:rPr>
          <w:rFonts w:asciiTheme="majorBidi" w:hAnsiTheme="majorBidi" w:cstheme="majorBidi"/>
          <w:noProof/>
        </w:rPr>
        <w:t xml:space="preserve"> </w:t>
      </w:r>
      <w:r w:rsidRPr="002D0908">
        <w:rPr>
          <w:rFonts w:asciiTheme="majorBidi" w:hAnsiTheme="majorBidi" w:cstheme="majorBidi"/>
          <w:i/>
          <w:iCs/>
          <w:noProof/>
        </w:rPr>
        <w:t>, 24</w:t>
      </w:r>
      <w:r w:rsidRPr="002D0908">
        <w:rPr>
          <w:rFonts w:asciiTheme="majorBidi" w:hAnsiTheme="majorBidi" w:cstheme="majorBidi"/>
          <w:noProof/>
        </w:rPr>
        <w:t>, 863-870.</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Guerrero ME, J. R. (2006). State</w:t>
      </w:r>
      <w:r w:rsidRPr="002D0908">
        <w:rPr>
          <w:rFonts w:ascii="Cambria Math" w:hAnsi="Cambria Math" w:cstheme="majorBidi"/>
          <w:noProof/>
        </w:rPr>
        <w:t>‐</w:t>
      </w:r>
      <w:r w:rsidRPr="002D0908">
        <w:rPr>
          <w:rFonts w:asciiTheme="majorBidi" w:hAnsiTheme="majorBidi" w:cstheme="majorBidi"/>
          <w:noProof/>
        </w:rPr>
        <w:t>of</w:t>
      </w:r>
      <w:r w:rsidRPr="002D0908">
        <w:rPr>
          <w:rFonts w:ascii="Cambria Math" w:hAnsi="Cambria Math" w:cstheme="majorBidi"/>
          <w:noProof/>
        </w:rPr>
        <w:t>‐</w:t>
      </w:r>
      <w:r w:rsidRPr="002D0908">
        <w:rPr>
          <w:rFonts w:asciiTheme="majorBidi" w:hAnsiTheme="majorBidi" w:cstheme="majorBidi"/>
          <w:noProof/>
        </w:rPr>
        <w:t>the</w:t>
      </w:r>
      <w:r w:rsidRPr="002D0908">
        <w:rPr>
          <w:rFonts w:ascii="Cambria Math" w:hAnsi="Cambria Math" w:cstheme="majorBidi"/>
          <w:noProof/>
        </w:rPr>
        <w:t>‐</w:t>
      </w:r>
      <w:r w:rsidRPr="002D0908">
        <w:rPr>
          <w:rFonts w:asciiTheme="majorBidi" w:hAnsiTheme="majorBidi" w:cstheme="majorBidi"/>
          <w:noProof/>
        </w:rPr>
        <w:t xml:space="preserve">art on cone beam CT imaging for preoperative planning of implant placement. </w:t>
      </w:r>
      <w:r w:rsidRPr="002D0908">
        <w:rPr>
          <w:rFonts w:asciiTheme="majorBidi" w:hAnsiTheme="majorBidi" w:cstheme="majorBidi"/>
          <w:i/>
          <w:iCs/>
          <w:noProof/>
        </w:rPr>
        <w:t>Clin Oral Investig</w:t>
      </w:r>
      <w:r w:rsidRPr="002D0908">
        <w:rPr>
          <w:rFonts w:asciiTheme="majorBidi" w:hAnsiTheme="majorBidi" w:cstheme="majorBidi"/>
          <w:noProof/>
        </w:rPr>
        <w:t xml:space="preserve"> </w:t>
      </w:r>
      <w:r w:rsidRPr="002D0908">
        <w:rPr>
          <w:rFonts w:asciiTheme="majorBidi" w:hAnsiTheme="majorBidi" w:cstheme="majorBidi"/>
          <w:i/>
          <w:iCs/>
          <w:noProof/>
        </w:rPr>
        <w:t>, 10(1)</w:t>
      </w:r>
      <w:r w:rsidRPr="002D0908">
        <w:rPr>
          <w:rFonts w:asciiTheme="majorBidi" w:hAnsiTheme="majorBidi" w:cstheme="majorBidi"/>
          <w:noProof/>
        </w:rPr>
        <w:t>, 1</w:t>
      </w:r>
      <w:r w:rsidRPr="002D0908">
        <w:rPr>
          <w:rFonts w:ascii="Cambria Math" w:hAnsi="Cambria Math" w:cstheme="majorBidi"/>
          <w:noProof/>
        </w:rPr>
        <w:t>‐</w:t>
      </w:r>
      <w:r w:rsidRPr="002D0908">
        <w:rPr>
          <w:rFonts w:asciiTheme="majorBidi" w:hAnsiTheme="majorBidi" w:cstheme="majorBidi"/>
          <w:noProof/>
        </w:rPr>
        <w:t>7.</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Hoshaw SJ, B. J. (1994). Mechanical loading of Branemark implants affects interfacial bone modeling and remodeling. </w:t>
      </w:r>
      <w:r w:rsidRPr="002D0908">
        <w:rPr>
          <w:rFonts w:asciiTheme="majorBidi" w:hAnsiTheme="majorBidi" w:cstheme="majorBidi"/>
          <w:i/>
          <w:iCs/>
          <w:noProof/>
        </w:rPr>
        <w:t>Int J Oral and Maxillofac Implants</w:t>
      </w:r>
      <w:r w:rsidRPr="002D0908">
        <w:rPr>
          <w:rFonts w:asciiTheme="majorBidi" w:hAnsiTheme="majorBidi" w:cstheme="majorBidi"/>
          <w:noProof/>
        </w:rPr>
        <w:t xml:space="preserve"> </w:t>
      </w:r>
      <w:r w:rsidRPr="002D0908">
        <w:rPr>
          <w:rFonts w:asciiTheme="majorBidi" w:hAnsiTheme="majorBidi" w:cstheme="majorBidi"/>
          <w:i/>
          <w:iCs/>
          <w:noProof/>
        </w:rPr>
        <w:t>, 9</w:t>
      </w:r>
      <w:r w:rsidRPr="002D0908">
        <w:rPr>
          <w:rFonts w:asciiTheme="majorBidi" w:hAnsiTheme="majorBidi" w:cstheme="majorBidi"/>
          <w:noProof/>
        </w:rPr>
        <w:t>, 345-60.</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Kei I, Y. A. (2011). Relationship between the bone density estimated by cone-beam computed tomography and the primary stability of dental implants. </w:t>
      </w:r>
      <w:r w:rsidRPr="002D0908">
        <w:rPr>
          <w:rFonts w:asciiTheme="majorBidi" w:hAnsiTheme="majorBidi" w:cstheme="majorBidi"/>
          <w:i/>
          <w:iCs/>
          <w:noProof/>
        </w:rPr>
        <w:t>Clin oral implants res</w:t>
      </w:r>
      <w:r w:rsidRPr="002D0908">
        <w:rPr>
          <w:rFonts w:asciiTheme="majorBidi" w:hAnsiTheme="majorBidi" w:cstheme="majorBidi"/>
          <w:noProof/>
        </w:rPr>
        <w:t xml:space="preserve"> </w:t>
      </w:r>
      <w:r w:rsidRPr="002D0908">
        <w:rPr>
          <w:rFonts w:asciiTheme="majorBidi" w:hAnsiTheme="majorBidi" w:cstheme="majorBidi"/>
          <w:i/>
          <w:iCs/>
          <w:noProof/>
        </w:rPr>
        <w:t>, 23</w:t>
      </w:r>
      <w:r w:rsidRPr="002D0908">
        <w:rPr>
          <w:rFonts w:asciiTheme="majorBidi" w:hAnsiTheme="majorBidi" w:cstheme="majorBidi"/>
          <w:noProof/>
        </w:rPr>
        <w:t>, 1-5.</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Kindberg H, G. J. (2001). Tooth-implant supported prostheses: A retrospective clinical follow up to 8 years. </w:t>
      </w:r>
      <w:r w:rsidRPr="002D0908">
        <w:rPr>
          <w:rFonts w:asciiTheme="majorBidi" w:hAnsiTheme="majorBidi" w:cstheme="majorBidi"/>
          <w:i/>
          <w:iCs/>
          <w:noProof/>
        </w:rPr>
        <w:t>Int J Prosthodont</w:t>
      </w:r>
      <w:r w:rsidRPr="002D0908">
        <w:rPr>
          <w:rFonts w:asciiTheme="majorBidi" w:hAnsiTheme="majorBidi" w:cstheme="majorBidi"/>
          <w:noProof/>
        </w:rPr>
        <w:t xml:space="preserve"> </w:t>
      </w:r>
      <w:r w:rsidRPr="002D0908">
        <w:rPr>
          <w:rFonts w:asciiTheme="majorBidi" w:hAnsiTheme="majorBidi" w:cstheme="majorBidi"/>
          <w:i/>
          <w:iCs/>
          <w:noProof/>
        </w:rPr>
        <w:t>, 14</w:t>
      </w:r>
      <w:r w:rsidRPr="002D0908">
        <w:rPr>
          <w:rFonts w:asciiTheme="majorBidi" w:hAnsiTheme="majorBidi" w:cstheme="majorBidi"/>
          <w:noProof/>
        </w:rPr>
        <w:t>, 575-581.</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Kobayashi K, S. S. (2004). Accuracy in measurement of distance using limited cone</w:t>
      </w:r>
      <w:r w:rsidRPr="002D0908">
        <w:rPr>
          <w:rFonts w:ascii="Cambria Math" w:hAnsi="Cambria Math" w:cstheme="majorBidi"/>
          <w:noProof/>
        </w:rPr>
        <w:t>‐</w:t>
      </w:r>
      <w:r w:rsidRPr="002D0908">
        <w:rPr>
          <w:rFonts w:asciiTheme="majorBidi" w:hAnsiTheme="majorBidi" w:cstheme="majorBidi"/>
          <w:noProof/>
        </w:rPr>
        <w:t xml:space="preserve">beam computerized tomography. </w:t>
      </w:r>
      <w:r w:rsidRPr="002D0908">
        <w:rPr>
          <w:rFonts w:asciiTheme="majorBidi" w:hAnsiTheme="majorBidi" w:cstheme="majorBidi"/>
          <w:i/>
          <w:iCs/>
          <w:noProof/>
        </w:rPr>
        <w:t>Int J Oral and Maxillofac Implants</w:t>
      </w:r>
      <w:r w:rsidRPr="002D0908">
        <w:rPr>
          <w:rFonts w:asciiTheme="majorBidi" w:hAnsiTheme="majorBidi" w:cstheme="majorBidi"/>
          <w:noProof/>
        </w:rPr>
        <w:t xml:space="preserve"> </w:t>
      </w:r>
      <w:r w:rsidRPr="002D0908">
        <w:rPr>
          <w:rFonts w:asciiTheme="majorBidi" w:hAnsiTheme="majorBidi" w:cstheme="majorBidi"/>
          <w:i/>
          <w:iCs/>
          <w:noProof/>
        </w:rPr>
        <w:t>, 19(2)</w:t>
      </w:r>
      <w:r w:rsidRPr="002D0908">
        <w:rPr>
          <w:rFonts w:asciiTheme="majorBidi" w:hAnsiTheme="majorBidi" w:cstheme="majorBidi"/>
          <w:noProof/>
        </w:rPr>
        <w:t>, 228</w:t>
      </w:r>
      <w:r w:rsidRPr="002D0908">
        <w:rPr>
          <w:rFonts w:ascii="Cambria Math" w:hAnsi="Cambria Math" w:cstheme="majorBidi"/>
          <w:noProof/>
        </w:rPr>
        <w:t>‐</w:t>
      </w:r>
      <w:r w:rsidRPr="002D0908">
        <w:rPr>
          <w:rFonts w:asciiTheme="majorBidi" w:hAnsiTheme="majorBidi" w:cstheme="majorBidi"/>
          <w:noProof/>
        </w:rPr>
        <w:t>31.</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Laufer B, G. M. (1998). Splinting osseointegrated implants and natural teeth in rehabilitation of partially edentulous patients. Part II: principle and applications. </w:t>
      </w:r>
      <w:r w:rsidRPr="002D0908">
        <w:rPr>
          <w:rFonts w:asciiTheme="majorBidi" w:hAnsiTheme="majorBidi" w:cstheme="majorBidi"/>
          <w:i/>
          <w:iCs/>
          <w:noProof/>
        </w:rPr>
        <w:t>J Oral Rehabil</w:t>
      </w:r>
      <w:r w:rsidRPr="002D0908">
        <w:rPr>
          <w:rFonts w:asciiTheme="majorBidi" w:hAnsiTheme="majorBidi" w:cstheme="majorBidi"/>
          <w:noProof/>
        </w:rPr>
        <w:t xml:space="preserve"> </w:t>
      </w:r>
      <w:r w:rsidRPr="002D0908">
        <w:rPr>
          <w:rFonts w:asciiTheme="majorBidi" w:hAnsiTheme="majorBidi" w:cstheme="majorBidi"/>
          <w:i/>
          <w:iCs/>
          <w:noProof/>
        </w:rPr>
        <w:t>, 25</w:t>
      </w:r>
      <w:r w:rsidRPr="002D0908">
        <w:rPr>
          <w:rFonts w:asciiTheme="majorBidi" w:hAnsiTheme="majorBidi" w:cstheme="majorBidi"/>
          <w:noProof/>
        </w:rPr>
        <w:t>, 69-80.</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Lin CL, C. S. (2006). Mechanical interactions of an implant/tooth-supported system under different periodontal supports and number of splinted teeth with rigid and non-rigid connections. </w:t>
      </w:r>
      <w:r w:rsidRPr="002D0908">
        <w:rPr>
          <w:rFonts w:asciiTheme="majorBidi" w:hAnsiTheme="majorBidi" w:cstheme="majorBidi"/>
          <w:i/>
          <w:iCs/>
          <w:noProof/>
        </w:rPr>
        <w:t>J Dent</w:t>
      </w:r>
      <w:r w:rsidRPr="002D0908">
        <w:rPr>
          <w:rFonts w:asciiTheme="majorBidi" w:hAnsiTheme="majorBidi" w:cstheme="majorBidi"/>
          <w:noProof/>
        </w:rPr>
        <w:t xml:space="preserve"> </w:t>
      </w:r>
      <w:r w:rsidRPr="002D0908">
        <w:rPr>
          <w:rFonts w:asciiTheme="majorBidi" w:hAnsiTheme="majorBidi" w:cstheme="majorBidi"/>
          <w:i/>
          <w:iCs/>
          <w:noProof/>
        </w:rPr>
        <w:t>, 34</w:t>
      </w:r>
      <w:r w:rsidRPr="002D0908">
        <w:rPr>
          <w:rFonts w:asciiTheme="majorBidi" w:hAnsiTheme="majorBidi" w:cstheme="majorBidi"/>
          <w:noProof/>
        </w:rPr>
        <w:t>, 682-91.</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Lindh T, D. S. (2001). Tooth-implant supported fixed prostheses: A retrospective multicenter study. </w:t>
      </w:r>
      <w:r w:rsidRPr="002D0908">
        <w:rPr>
          <w:rFonts w:asciiTheme="majorBidi" w:hAnsiTheme="majorBidi" w:cstheme="majorBidi"/>
          <w:i/>
          <w:iCs/>
          <w:noProof/>
        </w:rPr>
        <w:t>Int J Prosthodont</w:t>
      </w:r>
      <w:r w:rsidRPr="002D0908">
        <w:rPr>
          <w:rFonts w:asciiTheme="majorBidi" w:hAnsiTheme="majorBidi" w:cstheme="majorBidi"/>
          <w:noProof/>
        </w:rPr>
        <w:t xml:space="preserve"> </w:t>
      </w:r>
      <w:r w:rsidRPr="002D0908">
        <w:rPr>
          <w:rFonts w:asciiTheme="majorBidi" w:hAnsiTheme="majorBidi" w:cstheme="majorBidi"/>
          <w:i/>
          <w:iCs/>
          <w:noProof/>
        </w:rPr>
        <w:t>, 14</w:t>
      </w:r>
      <w:r w:rsidRPr="002D0908">
        <w:rPr>
          <w:rFonts w:asciiTheme="majorBidi" w:hAnsiTheme="majorBidi" w:cstheme="majorBidi"/>
          <w:noProof/>
        </w:rPr>
        <w:t>, 321-328.</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Lindh T, G. J. (1998). Meta-analysis of implants in partial edentulism. </w:t>
      </w:r>
      <w:r w:rsidRPr="002D0908">
        <w:rPr>
          <w:rFonts w:asciiTheme="majorBidi" w:hAnsiTheme="majorBidi" w:cstheme="majorBidi"/>
          <w:i/>
          <w:iCs/>
          <w:noProof/>
        </w:rPr>
        <w:t>Clin Oral implants res</w:t>
      </w:r>
      <w:r w:rsidRPr="002D0908">
        <w:rPr>
          <w:rFonts w:asciiTheme="majorBidi" w:hAnsiTheme="majorBidi" w:cstheme="majorBidi"/>
          <w:noProof/>
        </w:rPr>
        <w:t xml:space="preserve"> </w:t>
      </w:r>
      <w:r w:rsidRPr="002D0908">
        <w:rPr>
          <w:rFonts w:asciiTheme="majorBidi" w:hAnsiTheme="majorBidi" w:cstheme="majorBidi"/>
          <w:i/>
          <w:iCs/>
          <w:noProof/>
        </w:rPr>
        <w:t>, 9</w:t>
      </w:r>
      <w:r w:rsidRPr="002D0908">
        <w:rPr>
          <w:rFonts w:asciiTheme="majorBidi" w:hAnsiTheme="majorBidi" w:cstheme="majorBidi"/>
          <w:noProof/>
        </w:rPr>
        <w:t>, 80-90.</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Menicucci G, M. A. (2002). Tooth-implant connection: Some biomechanical aspects based on finite elements analysis. </w:t>
      </w:r>
      <w:r w:rsidRPr="002D0908">
        <w:rPr>
          <w:rFonts w:asciiTheme="majorBidi" w:hAnsiTheme="majorBidi" w:cstheme="majorBidi"/>
          <w:i/>
          <w:iCs/>
          <w:noProof/>
        </w:rPr>
        <w:t>Clin Oral Implants res</w:t>
      </w:r>
      <w:r w:rsidRPr="002D0908">
        <w:rPr>
          <w:rFonts w:asciiTheme="majorBidi" w:hAnsiTheme="majorBidi" w:cstheme="majorBidi"/>
          <w:noProof/>
        </w:rPr>
        <w:t xml:space="preserve"> </w:t>
      </w:r>
      <w:r w:rsidRPr="002D0908">
        <w:rPr>
          <w:rFonts w:asciiTheme="majorBidi" w:hAnsiTheme="majorBidi" w:cstheme="majorBidi"/>
          <w:i/>
          <w:iCs/>
          <w:noProof/>
        </w:rPr>
        <w:t>, 13</w:t>
      </w:r>
      <w:r w:rsidRPr="002D0908">
        <w:rPr>
          <w:rFonts w:asciiTheme="majorBidi" w:hAnsiTheme="majorBidi" w:cstheme="majorBidi"/>
          <w:noProof/>
        </w:rPr>
        <w:t>, 334-344.</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Naert I, D. J. (2001). Free standing and tooth-implant connected prostheses in the treatment of partially edentulous patients. Part II: An up to 15 years radiographic evaluation. </w:t>
      </w:r>
      <w:r w:rsidRPr="002D0908">
        <w:rPr>
          <w:rFonts w:asciiTheme="majorBidi" w:hAnsiTheme="majorBidi" w:cstheme="majorBidi"/>
          <w:i/>
          <w:iCs/>
          <w:noProof/>
        </w:rPr>
        <w:t>Clin Oral Implants res</w:t>
      </w:r>
      <w:r w:rsidRPr="002D0908">
        <w:rPr>
          <w:rFonts w:asciiTheme="majorBidi" w:hAnsiTheme="majorBidi" w:cstheme="majorBidi"/>
          <w:noProof/>
        </w:rPr>
        <w:t xml:space="preserve"> </w:t>
      </w:r>
      <w:r w:rsidRPr="002D0908">
        <w:rPr>
          <w:rFonts w:asciiTheme="majorBidi" w:hAnsiTheme="majorBidi" w:cstheme="majorBidi"/>
          <w:i/>
          <w:iCs/>
          <w:noProof/>
        </w:rPr>
        <w:t>, 12</w:t>
      </w:r>
      <w:r w:rsidRPr="002D0908">
        <w:rPr>
          <w:rFonts w:asciiTheme="majorBidi" w:hAnsiTheme="majorBidi" w:cstheme="majorBidi"/>
          <w:noProof/>
        </w:rPr>
        <w:t>, 245-251.</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Naert I, Q. M. (1992). A six years prosthodontic study of 50 consecutively inserted implants for the treatment of partial edentulism. </w:t>
      </w:r>
      <w:r w:rsidRPr="002D0908">
        <w:rPr>
          <w:rFonts w:asciiTheme="majorBidi" w:hAnsiTheme="majorBidi" w:cstheme="majorBidi"/>
          <w:i/>
          <w:iCs/>
          <w:noProof/>
        </w:rPr>
        <w:t>J Prosthet Dent</w:t>
      </w:r>
      <w:r w:rsidRPr="002D0908">
        <w:rPr>
          <w:rFonts w:asciiTheme="majorBidi" w:hAnsiTheme="majorBidi" w:cstheme="majorBidi"/>
          <w:noProof/>
        </w:rPr>
        <w:t xml:space="preserve"> </w:t>
      </w:r>
      <w:r w:rsidRPr="002D0908">
        <w:rPr>
          <w:rFonts w:asciiTheme="majorBidi" w:hAnsiTheme="majorBidi" w:cstheme="majorBidi"/>
          <w:i/>
          <w:iCs/>
          <w:noProof/>
        </w:rPr>
        <w:t>, 67</w:t>
      </w:r>
      <w:r w:rsidRPr="002D0908">
        <w:rPr>
          <w:rFonts w:asciiTheme="majorBidi" w:hAnsiTheme="majorBidi" w:cstheme="majorBidi"/>
          <w:noProof/>
        </w:rPr>
        <w:t>, 236-245.</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Nyman S, L. N. (2000). Tooth mobility and the biological rationale for splinting teeth. </w:t>
      </w:r>
      <w:r w:rsidRPr="002D0908">
        <w:rPr>
          <w:rFonts w:asciiTheme="majorBidi" w:hAnsiTheme="majorBidi" w:cstheme="majorBidi"/>
          <w:i/>
          <w:iCs/>
          <w:noProof/>
        </w:rPr>
        <w:t>J Periodontol</w:t>
      </w:r>
      <w:r w:rsidRPr="002D0908">
        <w:rPr>
          <w:rFonts w:asciiTheme="majorBidi" w:hAnsiTheme="majorBidi" w:cstheme="majorBidi"/>
          <w:noProof/>
        </w:rPr>
        <w:t xml:space="preserve"> </w:t>
      </w:r>
      <w:r w:rsidRPr="002D0908">
        <w:rPr>
          <w:rFonts w:asciiTheme="majorBidi" w:hAnsiTheme="majorBidi" w:cstheme="majorBidi"/>
          <w:i/>
          <w:iCs/>
          <w:noProof/>
        </w:rPr>
        <w:t>, 4</w:t>
      </w:r>
      <w:r w:rsidRPr="002D0908">
        <w:rPr>
          <w:rFonts w:asciiTheme="majorBidi" w:hAnsiTheme="majorBidi" w:cstheme="majorBidi"/>
          <w:noProof/>
        </w:rPr>
        <w:t>, 15-22.</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Richter, E. (1995). In vivo vertical forces on implants. </w:t>
      </w:r>
      <w:r w:rsidRPr="002D0908">
        <w:rPr>
          <w:rFonts w:asciiTheme="majorBidi" w:hAnsiTheme="majorBidi" w:cstheme="majorBidi"/>
          <w:i/>
          <w:iCs/>
          <w:noProof/>
        </w:rPr>
        <w:t>Int J Oral and Maxillofac Implantology</w:t>
      </w:r>
      <w:r w:rsidRPr="002D0908">
        <w:rPr>
          <w:rFonts w:asciiTheme="majorBidi" w:hAnsiTheme="majorBidi" w:cstheme="majorBidi"/>
          <w:noProof/>
        </w:rPr>
        <w:t xml:space="preserve"> </w:t>
      </w:r>
      <w:r w:rsidRPr="002D0908">
        <w:rPr>
          <w:rFonts w:asciiTheme="majorBidi" w:hAnsiTheme="majorBidi" w:cstheme="majorBidi"/>
          <w:i/>
          <w:iCs/>
          <w:noProof/>
        </w:rPr>
        <w:t>, 10</w:t>
      </w:r>
      <w:r w:rsidRPr="002D0908">
        <w:rPr>
          <w:rFonts w:asciiTheme="majorBidi" w:hAnsiTheme="majorBidi" w:cstheme="majorBidi"/>
          <w:noProof/>
        </w:rPr>
        <w:t>, 99-108.</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lastRenderedPageBreak/>
        <w:t xml:space="preserve">Rodrigues R, L. A. (2011). Can Cone Beam Computer Tomography predict the bone density expected at the implant surgical site? Exploratory study. </w:t>
      </w:r>
      <w:r w:rsidRPr="002D0908">
        <w:rPr>
          <w:rFonts w:asciiTheme="majorBidi" w:hAnsiTheme="majorBidi" w:cstheme="majorBidi"/>
          <w:i/>
          <w:iCs/>
          <w:noProof/>
        </w:rPr>
        <w:t>the 20th Annual Scientific Meeting of the European Association of Osseointegration</w:t>
      </w:r>
      <w:r w:rsidRPr="002D0908">
        <w:rPr>
          <w:rFonts w:asciiTheme="majorBidi" w:hAnsiTheme="majorBidi" w:cstheme="majorBidi"/>
          <w:noProof/>
        </w:rPr>
        <w:t xml:space="preserve"> .</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Russell D, K. T. (1999). Photoelastic stress analysis of load transfer to implants and natural teeth comparing rigid semirigid connectors. </w:t>
      </w:r>
      <w:r w:rsidRPr="002D0908">
        <w:rPr>
          <w:rFonts w:asciiTheme="majorBidi" w:hAnsiTheme="majorBidi" w:cstheme="majorBidi"/>
          <w:i/>
          <w:iCs/>
          <w:noProof/>
        </w:rPr>
        <w:t>J Prosthet Dent</w:t>
      </w:r>
      <w:r w:rsidRPr="002D0908">
        <w:rPr>
          <w:rFonts w:asciiTheme="majorBidi" w:hAnsiTheme="majorBidi" w:cstheme="majorBidi"/>
          <w:noProof/>
        </w:rPr>
        <w:t xml:space="preserve"> </w:t>
      </w:r>
      <w:r w:rsidRPr="002D0908">
        <w:rPr>
          <w:rFonts w:asciiTheme="majorBidi" w:hAnsiTheme="majorBidi" w:cstheme="majorBidi"/>
          <w:i/>
          <w:iCs/>
          <w:noProof/>
        </w:rPr>
        <w:t>, 81</w:t>
      </w:r>
      <w:r w:rsidRPr="002D0908">
        <w:rPr>
          <w:rFonts w:asciiTheme="majorBidi" w:hAnsiTheme="majorBidi" w:cstheme="majorBidi"/>
          <w:noProof/>
        </w:rPr>
        <w:t>, 699-703.</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Steen D, L. V. (1990). The applicability to osseointegrated oral implants in the rehabilitation of partially edentulism: a prospective multicenter study on 558 fixtures. </w:t>
      </w:r>
      <w:r w:rsidRPr="002D0908">
        <w:rPr>
          <w:rFonts w:asciiTheme="majorBidi" w:hAnsiTheme="majorBidi" w:cstheme="majorBidi"/>
          <w:i/>
          <w:iCs/>
          <w:noProof/>
        </w:rPr>
        <w:t>Int J Oral and Maxillofac Implants</w:t>
      </w:r>
      <w:r w:rsidRPr="002D0908">
        <w:rPr>
          <w:rFonts w:asciiTheme="majorBidi" w:hAnsiTheme="majorBidi" w:cstheme="majorBidi"/>
          <w:noProof/>
        </w:rPr>
        <w:t xml:space="preserve"> </w:t>
      </w:r>
      <w:r w:rsidRPr="002D0908">
        <w:rPr>
          <w:rFonts w:asciiTheme="majorBidi" w:hAnsiTheme="majorBidi" w:cstheme="majorBidi"/>
          <w:i/>
          <w:iCs/>
          <w:noProof/>
        </w:rPr>
        <w:t>, 5</w:t>
      </w:r>
      <w:r w:rsidRPr="002D0908">
        <w:rPr>
          <w:rFonts w:asciiTheme="majorBidi" w:hAnsiTheme="majorBidi" w:cstheme="majorBidi"/>
          <w:noProof/>
        </w:rPr>
        <w:t>, 272-282.</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Winston, W. (2010). Tooth-to-implant connection: A systemic review of the literature and a case report utilizing a new connection design. </w:t>
      </w:r>
      <w:r w:rsidRPr="002D0908">
        <w:rPr>
          <w:rFonts w:asciiTheme="majorBidi" w:hAnsiTheme="majorBidi" w:cstheme="majorBidi"/>
          <w:i/>
          <w:iCs/>
          <w:noProof/>
        </w:rPr>
        <w:t>ClinImplant Dent and related res</w:t>
      </w:r>
      <w:r w:rsidRPr="002D0908">
        <w:rPr>
          <w:rFonts w:asciiTheme="majorBidi" w:hAnsiTheme="majorBidi" w:cstheme="majorBidi"/>
          <w:noProof/>
        </w:rPr>
        <w:t xml:space="preserve"> </w:t>
      </w:r>
      <w:r w:rsidRPr="002D0908">
        <w:rPr>
          <w:rFonts w:asciiTheme="majorBidi" w:hAnsiTheme="majorBidi" w:cstheme="majorBidi"/>
          <w:i/>
          <w:iCs/>
          <w:noProof/>
        </w:rPr>
        <w:t>, 12</w:t>
      </w:r>
      <w:r w:rsidRPr="002D0908">
        <w:rPr>
          <w:rFonts w:asciiTheme="majorBidi" w:hAnsiTheme="majorBidi" w:cstheme="majorBidi"/>
          <w:noProof/>
        </w:rPr>
        <w:t>, 122-133.</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Wyatt CC, P. M. (1998). Imaging techniques and image interpretation for dental implant treatment. </w:t>
      </w:r>
      <w:r w:rsidRPr="002D0908">
        <w:rPr>
          <w:rFonts w:asciiTheme="majorBidi" w:hAnsiTheme="majorBidi" w:cstheme="majorBidi"/>
          <w:i/>
          <w:iCs/>
          <w:noProof/>
        </w:rPr>
        <w:t>Int J Prosthodont</w:t>
      </w:r>
      <w:r w:rsidRPr="002D0908">
        <w:rPr>
          <w:rFonts w:asciiTheme="majorBidi" w:hAnsiTheme="majorBidi" w:cstheme="majorBidi"/>
          <w:noProof/>
        </w:rPr>
        <w:t xml:space="preserve"> </w:t>
      </w:r>
      <w:r w:rsidRPr="002D0908">
        <w:rPr>
          <w:rFonts w:asciiTheme="majorBidi" w:hAnsiTheme="majorBidi" w:cstheme="majorBidi"/>
          <w:i/>
          <w:iCs/>
          <w:noProof/>
        </w:rPr>
        <w:t>, 11(5)</w:t>
      </w:r>
      <w:r w:rsidRPr="002D0908">
        <w:rPr>
          <w:rFonts w:asciiTheme="majorBidi" w:hAnsiTheme="majorBidi" w:cstheme="majorBidi"/>
          <w:noProof/>
        </w:rPr>
        <w:t>, 442</w:t>
      </w:r>
      <w:r w:rsidRPr="002D0908">
        <w:rPr>
          <w:rFonts w:ascii="Cambria Math" w:hAnsi="Cambria Math" w:cstheme="majorBidi"/>
          <w:noProof/>
        </w:rPr>
        <w:t>‐</w:t>
      </w:r>
      <w:r w:rsidRPr="002D0908">
        <w:rPr>
          <w:rFonts w:asciiTheme="majorBidi" w:hAnsiTheme="majorBidi" w:cstheme="majorBidi"/>
          <w:noProof/>
        </w:rPr>
        <w:t>52.</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Wylie RS, C. A. (1991). Fixed cantilever splints on teeth with normal and reduced periodontal support. </w:t>
      </w:r>
      <w:r w:rsidRPr="002D0908">
        <w:rPr>
          <w:rFonts w:asciiTheme="majorBidi" w:hAnsiTheme="majorBidi" w:cstheme="majorBidi"/>
          <w:i/>
          <w:iCs/>
          <w:noProof/>
        </w:rPr>
        <w:t>J Prosthet Dent</w:t>
      </w:r>
      <w:r w:rsidRPr="002D0908">
        <w:rPr>
          <w:rFonts w:asciiTheme="majorBidi" w:hAnsiTheme="majorBidi" w:cstheme="majorBidi"/>
          <w:noProof/>
        </w:rPr>
        <w:t xml:space="preserve"> </w:t>
      </w:r>
      <w:r w:rsidRPr="002D0908">
        <w:rPr>
          <w:rFonts w:asciiTheme="majorBidi" w:hAnsiTheme="majorBidi" w:cstheme="majorBidi"/>
          <w:i/>
          <w:iCs/>
          <w:noProof/>
        </w:rPr>
        <w:t>, 66</w:t>
      </w:r>
      <w:r w:rsidRPr="002D0908">
        <w:rPr>
          <w:rFonts w:asciiTheme="majorBidi" w:hAnsiTheme="majorBidi" w:cstheme="majorBidi"/>
          <w:noProof/>
        </w:rPr>
        <w:t>, 737-42.</w:t>
      </w:r>
    </w:p>
    <w:p w:rsidR="00972DFB" w:rsidRPr="002D0908" w:rsidRDefault="00972DFB" w:rsidP="00D87ACB">
      <w:pPr>
        <w:pStyle w:val="Bibliography"/>
        <w:bidi w:val="0"/>
        <w:jc w:val="both"/>
        <w:rPr>
          <w:rFonts w:asciiTheme="majorBidi" w:hAnsiTheme="majorBidi" w:cstheme="majorBidi"/>
          <w:noProof/>
        </w:rPr>
      </w:pPr>
      <w:r w:rsidRPr="002D0908">
        <w:rPr>
          <w:rFonts w:asciiTheme="majorBidi" w:hAnsiTheme="majorBidi" w:cstheme="majorBidi"/>
          <w:noProof/>
        </w:rPr>
        <w:t xml:space="preserve">Yang HS, L. L. (1999). Finite element stress analysis on the effect of splinting in fixed partial dentures. </w:t>
      </w:r>
      <w:r w:rsidRPr="002D0908">
        <w:rPr>
          <w:rFonts w:asciiTheme="majorBidi" w:hAnsiTheme="majorBidi" w:cstheme="majorBidi"/>
          <w:i/>
          <w:iCs/>
          <w:noProof/>
        </w:rPr>
        <w:t>J Prosthet Dent</w:t>
      </w:r>
      <w:r w:rsidRPr="002D0908">
        <w:rPr>
          <w:rFonts w:asciiTheme="majorBidi" w:hAnsiTheme="majorBidi" w:cstheme="majorBidi"/>
          <w:noProof/>
        </w:rPr>
        <w:t xml:space="preserve"> </w:t>
      </w:r>
      <w:r w:rsidRPr="002D0908">
        <w:rPr>
          <w:rFonts w:asciiTheme="majorBidi" w:hAnsiTheme="majorBidi" w:cstheme="majorBidi"/>
          <w:i/>
          <w:iCs/>
          <w:noProof/>
        </w:rPr>
        <w:t>, 81</w:t>
      </w:r>
      <w:r w:rsidRPr="002D0908">
        <w:rPr>
          <w:rFonts w:asciiTheme="majorBidi" w:hAnsiTheme="majorBidi" w:cstheme="majorBidi"/>
          <w:noProof/>
        </w:rPr>
        <w:t>, 721-8.</w:t>
      </w:r>
    </w:p>
    <w:p w:rsidR="0078656F" w:rsidRPr="002D0908" w:rsidRDefault="001919A5" w:rsidP="00D87ACB">
      <w:pPr>
        <w:spacing w:line="360" w:lineRule="auto"/>
        <w:jc w:val="both"/>
        <w:rPr>
          <w:rFonts w:asciiTheme="majorBidi" w:hAnsiTheme="majorBidi" w:cstheme="majorBidi"/>
        </w:rPr>
      </w:pPr>
      <w:r w:rsidRPr="002D0908">
        <w:rPr>
          <w:rFonts w:asciiTheme="majorBidi" w:hAnsiTheme="majorBidi" w:cstheme="majorBidi"/>
        </w:rPr>
        <w:fldChar w:fldCharType="end"/>
      </w:r>
    </w:p>
    <w:p w:rsidR="00BF2D83" w:rsidRPr="002D0908" w:rsidRDefault="00BF2D83" w:rsidP="00D87ACB">
      <w:pPr>
        <w:spacing w:line="360" w:lineRule="auto"/>
        <w:jc w:val="both"/>
        <w:rPr>
          <w:rFonts w:asciiTheme="majorBidi" w:hAnsiTheme="majorBidi" w:cstheme="majorBidi"/>
        </w:rPr>
      </w:pPr>
    </w:p>
    <w:p w:rsidR="000362F0" w:rsidRPr="002D0908" w:rsidRDefault="000362F0" w:rsidP="00D87ACB">
      <w:pPr>
        <w:jc w:val="both"/>
        <w:rPr>
          <w:rFonts w:asciiTheme="majorBidi" w:hAnsiTheme="majorBidi" w:cstheme="majorBidi"/>
          <w:sz w:val="28"/>
          <w:szCs w:val="28"/>
        </w:rPr>
      </w:pPr>
    </w:p>
    <w:p w:rsidR="000362F0" w:rsidRPr="002D0908" w:rsidRDefault="000362F0" w:rsidP="00D87ACB">
      <w:pPr>
        <w:jc w:val="both"/>
        <w:rPr>
          <w:rFonts w:asciiTheme="majorBidi" w:hAnsiTheme="majorBidi" w:cstheme="majorBidi"/>
          <w:sz w:val="28"/>
          <w:szCs w:val="28"/>
        </w:rPr>
      </w:pPr>
    </w:p>
    <w:p w:rsidR="000362F0" w:rsidRPr="002D0908" w:rsidRDefault="000362F0" w:rsidP="00D87ACB">
      <w:pPr>
        <w:jc w:val="both"/>
        <w:rPr>
          <w:rFonts w:asciiTheme="majorBidi" w:hAnsiTheme="majorBidi" w:cstheme="majorBidi"/>
          <w:sz w:val="28"/>
          <w:szCs w:val="28"/>
          <w:lang w:bidi="ar-EG"/>
        </w:rPr>
      </w:pPr>
    </w:p>
    <w:p w:rsidR="000362F0" w:rsidRPr="002D0908" w:rsidRDefault="000362F0" w:rsidP="00D87ACB">
      <w:pPr>
        <w:jc w:val="both"/>
        <w:rPr>
          <w:rFonts w:asciiTheme="majorBidi" w:hAnsiTheme="majorBidi" w:cstheme="majorBidi"/>
          <w:sz w:val="28"/>
          <w:szCs w:val="28"/>
          <w:lang w:bidi="ar-EG"/>
        </w:rPr>
      </w:pPr>
    </w:p>
    <w:p w:rsidR="000362F0" w:rsidRDefault="000362F0" w:rsidP="00D87ACB">
      <w:pPr>
        <w:jc w:val="both"/>
        <w:rPr>
          <w:rFonts w:asciiTheme="majorBidi" w:hAnsiTheme="majorBidi" w:cstheme="majorBidi"/>
          <w:sz w:val="28"/>
          <w:szCs w:val="28"/>
          <w:lang w:bidi="ar-EG"/>
        </w:rPr>
      </w:pPr>
    </w:p>
    <w:p w:rsidR="00094DE6" w:rsidRPr="002D0908" w:rsidRDefault="00094DE6" w:rsidP="00D87ACB">
      <w:pPr>
        <w:jc w:val="both"/>
        <w:rPr>
          <w:rFonts w:asciiTheme="majorBidi" w:hAnsiTheme="majorBidi" w:cstheme="majorBidi"/>
          <w:sz w:val="28"/>
          <w:szCs w:val="28"/>
          <w:lang w:bidi="ar-EG"/>
        </w:rPr>
      </w:pPr>
    </w:p>
    <w:p w:rsidR="000362F0" w:rsidRPr="002D0908" w:rsidRDefault="000362F0" w:rsidP="00D87ACB">
      <w:pPr>
        <w:jc w:val="both"/>
        <w:rPr>
          <w:rFonts w:asciiTheme="majorBidi" w:hAnsiTheme="majorBidi" w:cstheme="majorBidi"/>
          <w:sz w:val="28"/>
          <w:szCs w:val="28"/>
          <w:lang w:bidi="ar-EG"/>
        </w:rPr>
      </w:pPr>
    </w:p>
    <w:p w:rsidR="00094DE6" w:rsidRDefault="00094DE6">
      <w:pPr>
        <w:bidi w:val="0"/>
        <w:spacing w:after="0" w:line="240" w:lineRule="auto"/>
        <w:rPr>
          <w:rFonts w:asciiTheme="majorBidi" w:hAnsiTheme="majorBidi" w:cstheme="majorBidi"/>
          <w:sz w:val="28"/>
          <w:szCs w:val="28"/>
          <w:rtl/>
          <w:lang w:bidi="ar-EG"/>
        </w:rPr>
      </w:pPr>
      <w:r>
        <w:rPr>
          <w:rFonts w:asciiTheme="majorBidi" w:hAnsiTheme="majorBidi" w:cstheme="majorBidi"/>
          <w:sz w:val="28"/>
          <w:szCs w:val="28"/>
          <w:rtl/>
          <w:lang w:bidi="ar-EG"/>
        </w:rPr>
        <w:br w:type="page"/>
      </w:r>
    </w:p>
    <w:p w:rsidR="000362F0" w:rsidRPr="002D0908" w:rsidRDefault="000362F0" w:rsidP="00D87ACB">
      <w:pPr>
        <w:jc w:val="both"/>
        <w:rPr>
          <w:rFonts w:asciiTheme="majorBidi" w:hAnsiTheme="majorBidi" w:cstheme="majorBidi"/>
          <w:sz w:val="28"/>
          <w:szCs w:val="28"/>
          <w:lang w:bidi="ar-EG"/>
        </w:rPr>
      </w:pPr>
    </w:p>
    <w:p w:rsidR="000362F0" w:rsidRPr="002D0908" w:rsidRDefault="000362F0" w:rsidP="00D87ACB">
      <w:pPr>
        <w:jc w:val="both"/>
        <w:rPr>
          <w:rFonts w:asciiTheme="majorBidi" w:hAnsiTheme="majorBidi" w:cstheme="majorBidi"/>
          <w:sz w:val="28"/>
          <w:szCs w:val="28"/>
          <w:lang w:bidi="ar-EG"/>
        </w:rPr>
      </w:pPr>
    </w:p>
    <w:p w:rsidR="000362F0" w:rsidRPr="002D0908" w:rsidRDefault="001919A5" w:rsidP="00D87ACB">
      <w:pPr>
        <w:jc w:val="both"/>
        <w:rPr>
          <w:rFonts w:asciiTheme="majorBidi" w:hAnsiTheme="majorBidi" w:cstheme="majorBidi"/>
          <w:sz w:val="28"/>
          <w:szCs w:val="28"/>
          <w:lang w:bidi="ar-EG"/>
        </w:rPr>
      </w:pPr>
      <w:r>
        <w:rPr>
          <w:rFonts w:asciiTheme="majorBidi" w:hAnsiTheme="majorBidi" w:cstheme="majorBidi"/>
          <w:noProof/>
          <w:sz w:val="28"/>
          <w:szCs w:val="28"/>
          <w:lang w:eastAsia="zh-TW" w:bidi="ar-EG"/>
        </w:rPr>
        <w:pict>
          <v:shape id="_x0000_s1030" type="#_x0000_t202" style="position:absolute;left:0;text-align:left;margin-left:15.15pt;margin-top:3.15pt;width:428.7pt;height:555.9pt;z-index:251661312;mso-width-relative:margin;mso-height-relative:margin">
            <v:textbox style="mso-next-textbox:#_x0000_s1030">
              <w:txbxContent>
                <w:p w:rsidR="000362F0" w:rsidRPr="00F107B6" w:rsidRDefault="000362F0" w:rsidP="00F107B6">
                  <w:pPr>
                    <w:bidi w:val="0"/>
                    <w:jc w:val="center"/>
                    <w:rPr>
                      <w:rFonts w:ascii="Times New Roman" w:hAnsi="Times New Roman" w:cs="Times New Roman"/>
                      <w:i/>
                      <w:iCs/>
                      <w:sz w:val="24"/>
                      <w:szCs w:val="24"/>
                    </w:rPr>
                  </w:pPr>
                  <w:r w:rsidRPr="00F107B6">
                    <w:rPr>
                      <w:rFonts w:ascii="Times New Roman" w:hAnsi="Times New Roman" w:cs="Times New Roman"/>
                      <w:i/>
                      <w:iCs/>
                      <w:sz w:val="24"/>
                      <w:szCs w:val="24"/>
                    </w:rPr>
                    <w:t>Table (1):</w:t>
                  </w:r>
                  <w:r w:rsidRPr="00F107B6">
                    <w:rPr>
                      <w:rFonts w:ascii="Times New Roman" w:hAnsi="Times New Roman" w:cs="Times New Roman"/>
                      <w:sz w:val="24"/>
                      <w:szCs w:val="24"/>
                    </w:rPr>
                    <w:t xml:space="preserve"> </w:t>
                  </w:r>
                  <w:r w:rsidRPr="00F107B6">
                    <w:rPr>
                      <w:rFonts w:ascii="Times New Roman" w:hAnsi="Times New Roman" w:cs="Times New Roman"/>
                      <w:i/>
                      <w:iCs/>
                      <w:sz w:val="24"/>
                      <w:szCs w:val="24"/>
                    </w:rPr>
                    <w:t>The mean, standard deviation (SD) values and results of Mann-Whitney U test for the comparison between bone height and its changes around the implants in the two groups</w:t>
                  </w:r>
                </w:p>
                <w:tbl>
                  <w:tblPr>
                    <w:bidiVisual/>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1876"/>
                    <w:gridCol w:w="1046"/>
                    <w:gridCol w:w="972"/>
                    <w:gridCol w:w="1027"/>
                    <w:gridCol w:w="944"/>
                    <w:gridCol w:w="1221"/>
                  </w:tblGrid>
                  <w:tr w:rsidR="000362F0" w:rsidRPr="00F107B6" w:rsidTr="00F107B6">
                    <w:trPr>
                      <w:trHeight w:val="584"/>
                      <w:jc w:val="center"/>
                    </w:trPr>
                    <w:tc>
                      <w:tcPr>
                        <w:tcW w:w="1876" w:type="dxa"/>
                        <w:vMerge w:val="restart"/>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 xml:space="preserve">           Group</w:t>
                        </w:r>
                      </w:p>
                      <w:p w:rsidR="000362F0" w:rsidRPr="00F107B6" w:rsidRDefault="000362F0" w:rsidP="00342F60">
                        <w:pPr>
                          <w:bidi w:val="0"/>
                          <w:spacing w:after="0" w:line="480" w:lineRule="auto"/>
                          <w:jc w:val="both"/>
                          <w:rPr>
                            <w:rFonts w:ascii="Times New Roman" w:hAnsi="Times New Roman" w:cs="Times New Roman"/>
                            <w:color w:val="000000"/>
                          </w:rPr>
                        </w:pPr>
                      </w:p>
                      <w:p w:rsidR="000362F0" w:rsidRPr="00F107B6" w:rsidRDefault="000362F0" w:rsidP="00342F60">
                        <w:pPr>
                          <w:bidi w:val="0"/>
                          <w:spacing w:after="0" w:line="480" w:lineRule="auto"/>
                          <w:jc w:val="both"/>
                          <w:rPr>
                            <w:rFonts w:ascii="Times New Roman" w:hAnsi="Times New Roman" w:cs="Times New Roman"/>
                            <w:color w:val="000000"/>
                          </w:rPr>
                        </w:pPr>
                      </w:p>
                      <w:p w:rsidR="000362F0" w:rsidRPr="00F107B6" w:rsidRDefault="000362F0" w:rsidP="00342F60">
                        <w:pPr>
                          <w:bidi w:val="0"/>
                          <w:spacing w:after="0" w:line="480" w:lineRule="auto"/>
                          <w:jc w:val="both"/>
                          <w:rPr>
                            <w:rFonts w:ascii="Times New Roman" w:hAnsi="Times New Roman" w:cs="Times New Roman"/>
                            <w:color w:val="000000"/>
                          </w:rPr>
                        </w:pPr>
                      </w:p>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Period</w:t>
                        </w:r>
                      </w:p>
                    </w:tc>
                    <w:tc>
                      <w:tcPr>
                        <w:tcW w:w="2018" w:type="dxa"/>
                        <w:gridSpan w:val="2"/>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Rigid</w:t>
                        </w:r>
                      </w:p>
                    </w:tc>
                    <w:tc>
                      <w:tcPr>
                        <w:tcW w:w="1971" w:type="dxa"/>
                        <w:gridSpan w:val="2"/>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Non-rigid</w:t>
                        </w:r>
                      </w:p>
                    </w:tc>
                    <w:tc>
                      <w:tcPr>
                        <w:tcW w:w="1221" w:type="dxa"/>
                        <w:vMerge w:val="restart"/>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P-value</w:t>
                        </w:r>
                      </w:p>
                    </w:tc>
                  </w:tr>
                  <w:tr w:rsidR="000362F0" w:rsidRPr="00F107B6" w:rsidTr="00F107B6">
                    <w:trPr>
                      <w:trHeight w:val="1872"/>
                      <w:jc w:val="center"/>
                    </w:trPr>
                    <w:tc>
                      <w:tcPr>
                        <w:tcW w:w="0" w:type="auto"/>
                        <w:vMerge/>
                        <w:vAlign w:val="center"/>
                      </w:tcPr>
                      <w:p w:rsidR="000362F0" w:rsidRPr="00F107B6" w:rsidRDefault="000362F0" w:rsidP="00342F60">
                        <w:pPr>
                          <w:bidi w:val="0"/>
                          <w:spacing w:after="0" w:line="480" w:lineRule="auto"/>
                          <w:jc w:val="both"/>
                          <w:rPr>
                            <w:rFonts w:ascii="Times New Roman" w:hAnsi="Times New Roman" w:cs="Times New Roman"/>
                            <w:color w:val="000000"/>
                          </w:rPr>
                        </w:pPr>
                      </w:p>
                    </w:tc>
                    <w:tc>
                      <w:tcPr>
                        <w:tcW w:w="1046"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 xml:space="preserve">Mean </w:t>
                        </w:r>
                      </w:p>
                    </w:tc>
                    <w:tc>
                      <w:tcPr>
                        <w:tcW w:w="972"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SD</w:t>
                        </w:r>
                      </w:p>
                    </w:tc>
                    <w:tc>
                      <w:tcPr>
                        <w:tcW w:w="1027"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 xml:space="preserve">Mean </w:t>
                        </w:r>
                      </w:p>
                    </w:tc>
                    <w:tc>
                      <w:tcPr>
                        <w:tcW w:w="944"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SD</w:t>
                        </w:r>
                      </w:p>
                    </w:tc>
                    <w:tc>
                      <w:tcPr>
                        <w:tcW w:w="0" w:type="auto"/>
                        <w:vMerge/>
                        <w:vAlign w:val="center"/>
                      </w:tcPr>
                      <w:p w:rsidR="000362F0" w:rsidRPr="00F107B6" w:rsidRDefault="000362F0" w:rsidP="00342F60">
                        <w:pPr>
                          <w:bidi w:val="0"/>
                          <w:spacing w:after="0" w:line="480" w:lineRule="auto"/>
                          <w:jc w:val="both"/>
                          <w:rPr>
                            <w:rFonts w:ascii="Times New Roman" w:hAnsi="Times New Roman" w:cs="Times New Roman"/>
                            <w:color w:val="000000"/>
                          </w:rPr>
                        </w:pPr>
                      </w:p>
                    </w:tc>
                  </w:tr>
                  <w:tr w:rsidR="000362F0" w:rsidRPr="00F107B6" w:rsidTr="00F107B6">
                    <w:trPr>
                      <w:trHeight w:val="390"/>
                      <w:jc w:val="center"/>
                    </w:trPr>
                    <w:tc>
                      <w:tcPr>
                        <w:tcW w:w="1876"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Immediate</w:t>
                        </w:r>
                      </w:p>
                    </w:tc>
                    <w:tc>
                      <w:tcPr>
                        <w:tcW w:w="1046"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3.57</w:t>
                        </w:r>
                      </w:p>
                    </w:tc>
                    <w:tc>
                      <w:tcPr>
                        <w:tcW w:w="972"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0.56</w:t>
                        </w:r>
                      </w:p>
                    </w:tc>
                    <w:tc>
                      <w:tcPr>
                        <w:tcW w:w="1027"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2.31</w:t>
                        </w:r>
                      </w:p>
                    </w:tc>
                    <w:tc>
                      <w:tcPr>
                        <w:tcW w:w="944"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0.38</w:t>
                        </w:r>
                      </w:p>
                    </w:tc>
                    <w:tc>
                      <w:tcPr>
                        <w:tcW w:w="1221"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0.075</w:t>
                        </w:r>
                      </w:p>
                    </w:tc>
                  </w:tr>
                  <w:tr w:rsidR="000362F0" w:rsidRPr="00F107B6" w:rsidTr="00F107B6">
                    <w:trPr>
                      <w:trHeight w:val="390"/>
                      <w:jc w:val="center"/>
                    </w:trPr>
                    <w:tc>
                      <w:tcPr>
                        <w:tcW w:w="1876"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6 months</w:t>
                        </w:r>
                      </w:p>
                    </w:tc>
                    <w:tc>
                      <w:tcPr>
                        <w:tcW w:w="1046"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3.50</w:t>
                        </w:r>
                      </w:p>
                    </w:tc>
                    <w:tc>
                      <w:tcPr>
                        <w:tcW w:w="972"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0.67</w:t>
                        </w:r>
                      </w:p>
                    </w:tc>
                    <w:tc>
                      <w:tcPr>
                        <w:tcW w:w="1027"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2.16</w:t>
                        </w:r>
                      </w:p>
                    </w:tc>
                    <w:tc>
                      <w:tcPr>
                        <w:tcW w:w="944"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0.33</w:t>
                        </w:r>
                      </w:p>
                    </w:tc>
                    <w:tc>
                      <w:tcPr>
                        <w:tcW w:w="1221"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0.112</w:t>
                        </w:r>
                      </w:p>
                    </w:tc>
                  </w:tr>
                  <w:tr w:rsidR="000362F0" w:rsidRPr="00F107B6" w:rsidTr="00F107B6">
                    <w:trPr>
                      <w:trHeight w:val="390"/>
                      <w:jc w:val="center"/>
                    </w:trPr>
                    <w:tc>
                      <w:tcPr>
                        <w:tcW w:w="1876"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Bone loss</w:t>
                        </w:r>
                      </w:p>
                    </w:tc>
                    <w:tc>
                      <w:tcPr>
                        <w:tcW w:w="1046"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0.07</w:t>
                        </w:r>
                      </w:p>
                    </w:tc>
                    <w:tc>
                      <w:tcPr>
                        <w:tcW w:w="972"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0.02</w:t>
                        </w:r>
                      </w:p>
                    </w:tc>
                    <w:tc>
                      <w:tcPr>
                        <w:tcW w:w="1027"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0.15</w:t>
                        </w:r>
                      </w:p>
                    </w:tc>
                    <w:tc>
                      <w:tcPr>
                        <w:tcW w:w="944"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0.03</w:t>
                        </w:r>
                      </w:p>
                    </w:tc>
                    <w:tc>
                      <w:tcPr>
                        <w:tcW w:w="1221"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0.060</w:t>
                        </w:r>
                      </w:p>
                    </w:tc>
                  </w:tr>
                  <w:tr w:rsidR="000362F0" w:rsidRPr="00F107B6" w:rsidTr="00F107B6">
                    <w:trPr>
                      <w:trHeight w:val="390"/>
                      <w:jc w:val="center"/>
                    </w:trPr>
                    <w:tc>
                      <w:tcPr>
                        <w:tcW w:w="1876"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 loss</w:t>
                        </w:r>
                      </w:p>
                    </w:tc>
                    <w:tc>
                      <w:tcPr>
                        <w:tcW w:w="1046"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2</w:t>
                        </w:r>
                      </w:p>
                    </w:tc>
                    <w:tc>
                      <w:tcPr>
                        <w:tcW w:w="972"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0.5</w:t>
                        </w:r>
                      </w:p>
                    </w:tc>
                    <w:tc>
                      <w:tcPr>
                        <w:tcW w:w="1027"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6.5</w:t>
                        </w:r>
                      </w:p>
                    </w:tc>
                    <w:tc>
                      <w:tcPr>
                        <w:tcW w:w="944"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1.2</w:t>
                        </w:r>
                      </w:p>
                    </w:tc>
                    <w:tc>
                      <w:tcPr>
                        <w:tcW w:w="1221"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0.087</w:t>
                        </w:r>
                      </w:p>
                    </w:tc>
                  </w:tr>
                </w:tbl>
                <w:p w:rsidR="000362F0" w:rsidRDefault="000362F0" w:rsidP="000362F0">
                  <w:pPr>
                    <w:bidi w:val="0"/>
                    <w:spacing w:line="480" w:lineRule="auto"/>
                    <w:ind w:left="720" w:firstLine="720"/>
                    <w:jc w:val="both"/>
                    <w:rPr>
                      <w:rFonts w:ascii="Times New Roman" w:hAnsi="Times New Roman" w:cs="Times New Roman"/>
                      <w:i/>
                      <w:iCs/>
                      <w:sz w:val="28"/>
                      <w:szCs w:val="28"/>
                    </w:rPr>
                  </w:pPr>
                  <w:r w:rsidRPr="00EB2F43">
                    <w:rPr>
                      <w:rFonts w:ascii="Times New Roman" w:hAnsi="Times New Roman" w:cs="Times New Roman"/>
                      <w:i/>
                      <w:iCs/>
                      <w:sz w:val="28"/>
                      <w:szCs w:val="28"/>
                    </w:rPr>
                    <w:t>*: Significant at P ≤ 0.05</w:t>
                  </w:r>
                </w:p>
                <w:p w:rsidR="00D902F9" w:rsidRDefault="00D902F9" w:rsidP="00D902F9">
                  <w:pPr>
                    <w:bidi w:val="0"/>
                    <w:spacing w:line="480" w:lineRule="auto"/>
                    <w:ind w:left="720" w:firstLine="720"/>
                    <w:jc w:val="center"/>
                    <w:rPr>
                      <w:rFonts w:ascii="Times New Roman" w:hAnsi="Times New Roman" w:cs="Times New Roman"/>
                      <w:i/>
                      <w:iCs/>
                      <w:sz w:val="28"/>
                      <w:szCs w:val="28"/>
                    </w:rPr>
                  </w:pPr>
                  <w:r>
                    <w:rPr>
                      <w:noProof/>
                    </w:rPr>
                    <w:drawing>
                      <wp:inline distT="0" distB="0" distL="0" distR="0">
                        <wp:extent cx="4288790" cy="2025015"/>
                        <wp:effectExtent l="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4288790" cy="2025015"/>
                                </a:xfrm>
                                <a:prstGeom prst="rect">
                                  <a:avLst/>
                                </a:prstGeom>
                                <a:noFill/>
                                <a:ln w="9525">
                                  <a:noFill/>
                                  <a:miter lim="800000"/>
                                  <a:headEnd/>
                                  <a:tailEnd/>
                                </a:ln>
                              </pic:spPr>
                            </pic:pic>
                          </a:graphicData>
                        </a:graphic>
                      </wp:inline>
                    </w:drawing>
                  </w:r>
                </w:p>
                <w:p w:rsidR="00D902F9" w:rsidRPr="0060555A" w:rsidRDefault="00D902F9" w:rsidP="00D902F9">
                  <w:pPr>
                    <w:bidi w:val="0"/>
                    <w:jc w:val="center"/>
                    <w:rPr>
                      <w:i/>
                      <w:iCs/>
                      <w:sz w:val="24"/>
                      <w:szCs w:val="24"/>
                    </w:rPr>
                  </w:pPr>
                  <w:r w:rsidRPr="0060555A">
                    <w:rPr>
                      <w:i/>
                      <w:iCs/>
                      <w:sz w:val="24"/>
                      <w:szCs w:val="24"/>
                    </w:rPr>
                    <w:t>Figure ( ): Mean % change in bone height around implants in the two groups</w:t>
                  </w:r>
                </w:p>
                <w:p w:rsidR="00D902F9" w:rsidRDefault="00D902F9" w:rsidP="00D902F9">
                  <w:pPr>
                    <w:bidi w:val="0"/>
                    <w:spacing w:line="480" w:lineRule="auto"/>
                    <w:ind w:left="720" w:firstLine="720"/>
                    <w:jc w:val="both"/>
                    <w:rPr>
                      <w:rFonts w:ascii="Times New Roman" w:hAnsi="Times New Roman" w:cs="Times New Roman"/>
                      <w:i/>
                      <w:iCs/>
                      <w:sz w:val="28"/>
                      <w:szCs w:val="28"/>
                    </w:rPr>
                  </w:pPr>
                </w:p>
                <w:p w:rsidR="00D902F9" w:rsidRPr="00EB2F43" w:rsidRDefault="00D902F9" w:rsidP="00D902F9">
                  <w:pPr>
                    <w:bidi w:val="0"/>
                    <w:spacing w:line="480" w:lineRule="auto"/>
                    <w:ind w:left="720" w:firstLine="720"/>
                    <w:jc w:val="both"/>
                    <w:rPr>
                      <w:rFonts w:ascii="Times New Roman" w:hAnsi="Times New Roman" w:cs="Times New Roman"/>
                      <w:i/>
                      <w:iCs/>
                      <w:sz w:val="28"/>
                      <w:szCs w:val="28"/>
                    </w:rPr>
                  </w:pPr>
                </w:p>
                <w:p w:rsidR="000362F0" w:rsidRPr="00EB2F43" w:rsidRDefault="000362F0" w:rsidP="000362F0">
                  <w:pPr>
                    <w:bidi w:val="0"/>
                    <w:jc w:val="both"/>
                    <w:rPr>
                      <w:rFonts w:ascii="Times New Roman" w:hAnsi="Times New Roman" w:cs="Times New Roman"/>
                      <w:i/>
                      <w:iCs/>
                      <w:sz w:val="28"/>
                      <w:szCs w:val="28"/>
                    </w:rPr>
                  </w:pPr>
                </w:p>
                <w:p w:rsidR="000362F0" w:rsidRPr="000362F0" w:rsidRDefault="000362F0" w:rsidP="000362F0"/>
              </w:txbxContent>
            </v:textbox>
          </v:shape>
        </w:pict>
      </w:r>
    </w:p>
    <w:p w:rsidR="000362F0" w:rsidRPr="002D0908" w:rsidRDefault="000362F0" w:rsidP="00D87ACB">
      <w:pPr>
        <w:jc w:val="both"/>
        <w:rPr>
          <w:rFonts w:asciiTheme="majorBidi" w:hAnsiTheme="majorBidi" w:cstheme="majorBidi"/>
          <w:sz w:val="28"/>
          <w:szCs w:val="28"/>
          <w:rtl/>
          <w:lang w:bidi="ar-EG"/>
        </w:rPr>
      </w:pPr>
    </w:p>
    <w:p w:rsidR="00BF2D83" w:rsidRPr="002D0908" w:rsidRDefault="00BF2D83" w:rsidP="00D87ACB">
      <w:pPr>
        <w:jc w:val="both"/>
        <w:rPr>
          <w:rFonts w:asciiTheme="majorBidi" w:hAnsiTheme="majorBidi" w:cstheme="majorBidi"/>
          <w:sz w:val="28"/>
          <w:szCs w:val="28"/>
          <w:lang w:bidi="ar-EG"/>
        </w:rPr>
      </w:pPr>
    </w:p>
    <w:p w:rsidR="00D47625" w:rsidRPr="002D0908" w:rsidRDefault="00D47625" w:rsidP="00D87ACB">
      <w:pPr>
        <w:bidi w:val="0"/>
        <w:spacing w:line="480" w:lineRule="auto"/>
        <w:jc w:val="both"/>
        <w:rPr>
          <w:rFonts w:asciiTheme="majorBidi" w:hAnsiTheme="majorBidi" w:cstheme="majorBidi"/>
          <w:sz w:val="28"/>
          <w:szCs w:val="28"/>
          <w:rtl/>
        </w:rPr>
      </w:pPr>
    </w:p>
    <w:p w:rsidR="00D47625" w:rsidRPr="002D0908" w:rsidRDefault="00D47625" w:rsidP="00D87ACB">
      <w:pPr>
        <w:bidi w:val="0"/>
        <w:spacing w:line="480" w:lineRule="auto"/>
        <w:jc w:val="both"/>
        <w:rPr>
          <w:rFonts w:asciiTheme="majorBidi" w:hAnsiTheme="majorBidi" w:cstheme="majorBidi"/>
          <w:sz w:val="28"/>
          <w:szCs w:val="28"/>
          <w:rtl/>
        </w:rPr>
      </w:pPr>
    </w:p>
    <w:p w:rsidR="00D47625" w:rsidRPr="002D0908" w:rsidRDefault="00D47625" w:rsidP="00D87ACB">
      <w:pPr>
        <w:bidi w:val="0"/>
        <w:spacing w:line="480" w:lineRule="auto"/>
        <w:jc w:val="both"/>
        <w:rPr>
          <w:rFonts w:asciiTheme="majorBidi" w:hAnsiTheme="majorBidi" w:cstheme="majorBidi"/>
          <w:sz w:val="28"/>
          <w:szCs w:val="28"/>
        </w:rPr>
      </w:pPr>
    </w:p>
    <w:p w:rsidR="000362F0" w:rsidRPr="002D0908" w:rsidRDefault="000362F0" w:rsidP="00D87ACB">
      <w:pPr>
        <w:bidi w:val="0"/>
        <w:spacing w:line="480" w:lineRule="auto"/>
        <w:jc w:val="both"/>
        <w:rPr>
          <w:rFonts w:asciiTheme="majorBidi" w:hAnsiTheme="majorBidi" w:cstheme="majorBidi"/>
          <w:sz w:val="28"/>
          <w:szCs w:val="28"/>
        </w:rPr>
      </w:pPr>
    </w:p>
    <w:p w:rsidR="000362F0" w:rsidRPr="002D0908" w:rsidRDefault="000362F0" w:rsidP="00D87ACB">
      <w:pPr>
        <w:bidi w:val="0"/>
        <w:spacing w:line="480" w:lineRule="auto"/>
        <w:jc w:val="both"/>
        <w:rPr>
          <w:rFonts w:asciiTheme="majorBidi" w:hAnsiTheme="majorBidi" w:cstheme="majorBidi"/>
          <w:sz w:val="28"/>
          <w:szCs w:val="28"/>
        </w:rPr>
      </w:pPr>
    </w:p>
    <w:p w:rsidR="000362F0" w:rsidRPr="002D0908" w:rsidRDefault="000362F0" w:rsidP="00D87ACB">
      <w:pPr>
        <w:bidi w:val="0"/>
        <w:spacing w:line="480" w:lineRule="auto"/>
        <w:jc w:val="both"/>
        <w:rPr>
          <w:rFonts w:asciiTheme="majorBidi" w:hAnsiTheme="majorBidi" w:cstheme="majorBidi"/>
          <w:sz w:val="28"/>
          <w:szCs w:val="28"/>
        </w:rPr>
      </w:pPr>
    </w:p>
    <w:p w:rsidR="00D902F9" w:rsidRPr="002D0908" w:rsidRDefault="00D902F9">
      <w:pPr>
        <w:bidi w:val="0"/>
        <w:spacing w:after="0" w:line="240" w:lineRule="auto"/>
        <w:rPr>
          <w:rFonts w:asciiTheme="majorBidi" w:hAnsiTheme="majorBidi" w:cstheme="majorBidi"/>
          <w:sz w:val="28"/>
          <w:szCs w:val="28"/>
        </w:rPr>
      </w:pPr>
      <w:r w:rsidRPr="002D0908">
        <w:rPr>
          <w:rFonts w:asciiTheme="majorBidi" w:hAnsiTheme="majorBidi" w:cstheme="majorBidi"/>
          <w:sz w:val="28"/>
          <w:szCs w:val="28"/>
        </w:rPr>
        <w:br w:type="page"/>
      </w:r>
    </w:p>
    <w:p w:rsidR="000362F0" w:rsidRPr="002D0908" w:rsidRDefault="000362F0" w:rsidP="00D87ACB">
      <w:pPr>
        <w:bidi w:val="0"/>
        <w:spacing w:line="480" w:lineRule="auto"/>
        <w:jc w:val="both"/>
        <w:rPr>
          <w:rFonts w:asciiTheme="majorBidi" w:hAnsiTheme="majorBidi" w:cstheme="majorBidi"/>
          <w:sz w:val="28"/>
          <w:szCs w:val="28"/>
        </w:rPr>
      </w:pPr>
    </w:p>
    <w:p w:rsidR="000362F0" w:rsidRPr="002D0908" w:rsidRDefault="001919A5" w:rsidP="00D87ACB">
      <w:pPr>
        <w:bidi w:val="0"/>
        <w:spacing w:line="480" w:lineRule="auto"/>
        <w:jc w:val="both"/>
        <w:rPr>
          <w:rFonts w:asciiTheme="majorBidi" w:hAnsiTheme="majorBidi" w:cstheme="majorBidi"/>
          <w:sz w:val="28"/>
          <w:szCs w:val="28"/>
        </w:rPr>
      </w:pPr>
      <w:r w:rsidRPr="001919A5">
        <w:rPr>
          <w:rFonts w:asciiTheme="majorBidi" w:hAnsiTheme="majorBidi" w:cstheme="majorBidi"/>
          <w:i/>
          <w:iCs/>
          <w:noProof/>
          <w:color w:val="000000"/>
          <w:sz w:val="28"/>
          <w:szCs w:val="28"/>
          <w:lang w:eastAsia="zh-TW"/>
        </w:rPr>
        <w:pict>
          <v:shape id="_x0000_s1031" type="#_x0000_t202" style="position:absolute;left:0;text-align:left;margin-left:8.55pt;margin-top:30.9pt;width:471.2pt;height:544.3pt;z-index:251663360;mso-width-relative:margin;mso-height-relative:margin">
            <v:textbox style="mso-next-textbox:#_x0000_s1031">
              <w:txbxContent>
                <w:p w:rsidR="000362F0" w:rsidRDefault="000362F0" w:rsidP="00E51816">
                  <w:pPr>
                    <w:bidi w:val="0"/>
                    <w:spacing w:after="0"/>
                    <w:jc w:val="center"/>
                    <w:rPr>
                      <w:rFonts w:ascii="Times New Roman" w:hAnsi="Times New Roman" w:cs="Times New Roman"/>
                      <w:i/>
                      <w:iCs/>
                      <w:color w:val="000000"/>
                      <w:sz w:val="24"/>
                      <w:szCs w:val="24"/>
                    </w:rPr>
                  </w:pPr>
                  <w:r w:rsidRPr="00F107B6">
                    <w:rPr>
                      <w:rFonts w:ascii="Times New Roman" w:hAnsi="Times New Roman" w:cs="Times New Roman"/>
                      <w:i/>
                      <w:iCs/>
                      <w:color w:val="000000"/>
                      <w:sz w:val="24"/>
                      <w:szCs w:val="24"/>
                    </w:rPr>
                    <w:t>Table (2): The mean, standard deviation (SD) values and results of Mann-Whitney U test for the comparison between bone height and its changes around natural teeth abutments in the two groups</w:t>
                  </w:r>
                </w:p>
                <w:p w:rsidR="0060555A" w:rsidRPr="00F107B6" w:rsidRDefault="0060555A" w:rsidP="0060555A">
                  <w:pPr>
                    <w:bidi w:val="0"/>
                    <w:spacing w:after="0"/>
                    <w:jc w:val="center"/>
                    <w:rPr>
                      <w:rFonts w:ascii="Times New Roman" w:hAnsi="Times New Roman" w:cs="Times New Roman"/>
                      <w:i/>
                      <w:iCs/>
                      <w:color w:val="000000"/>
                      <w:sz w:val="24"/>
                      <w:szCs w:val="24"/>
                    </w:rPr>
                  </w:pPr>
                </w:p>
                <w:tbl>
                  <w:tblPr>
                    <w:bidiVisual/>
                    <w:tblW w:w="7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1904"/>
                    <w:gridCol w:w="1061"/>
                    <w:gridCol w:w="987"/>
                    <w:gridCol w:w="1042"/>
                    <w:gridCol w:w="958"/>
                    <w:gridCol w:w="1239"/>
                  </w:tblGrid>
                  <w:tr w:rsidR="000362F0" w:rsidRPr="00F107B6" w:rsidTr="00F107B6">
                    <w:trPr>
                      <w:trHeight w:val="615"/>
                      <w:jc w:val="center"/>
                    </w:trPr>
                    <w:tc>
                      <w:tcPr>
                        <w:tcW w:w="1904" w:type="dxa"/>
                        <w:vMerge w:val="restart"/>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 xml:space="preserve">           Group</w:t>
                        </w:r>
                      </w:p>
                      <w:p w:rsidR="000362F0" w:rsidRPr="00F107B6" w:rsidRDefault="000362F0" w:rsidP="00342F60">
                        <w:pPr>
                          <w:bidi w:val="0"/>
                          <w:spacing w:after="0" w:line="480" w:lineRule="auto"/>
                          <w:jc w:val="both"/>
                          <w:rPr>
                            <w:rFonts w:ascii="Times New Roman" w:hAnsi="Times New Roman" w:cs="Times New Roman"/>
                            <w:color w:val="000000"/>
                          </w:rPr>
                        </w:pPr>
                      </w:p>
                      <w:p w:rsidR="000362F0" w:rsidRPr="00F107B6" w:rsidRDefault="000362F0" w:rsidP="00342F60">
                        <w:pPr>
                          <w:bidi w:val="0"/>
                          <w:spacing w:after="0" w:line="480" w:lineRule="auto"/>
                          <w:jc w:val="both"/>
                          <w:rPr>
                            <w:rFonts w:ascii="Times New Roman" w:hAnsi="Times New Roman" w:cs="Times New Roman"/>
                            <w:color w:val="000000"/>
                          </w:rPr>
                        </w:pPr>
                      </w:p>
                      <w:p w:rsidR="000362F0" w:rsidRPr="00F107B6" w:rsidRDefault="000362F0" w:rsidP="00342F60">
                        <w:pPr>
                          <w:bidi w:val="0"/>
                          <w:spacing w:after="0" w:line="480" w:lineRule="auto"/>
                          <w:jc w:val="both"/>
                          <w:rPr>
                            <w:rFonts w:ascii="Times New Roman" w:hAnsi="Times New Roman" w:cs="Times New Roman"/>
                            <w:color w:val="000000"/>
                          </w:rPr>
                        </w:pPr>
                      </w:p>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Period</w:t>
                        </w:r>
                      </w:p>
                    </w:tc>
                    <w:tc>
                      <w:tcPr>
                        <w:tcW w:w="2048" w:type="dxa"/>
                        <w:gridSpan w:val="2"/>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Rigid</w:t>
                        </w:r>
                      </w:p>
                    </w:tc>
                    <w:tc>
                      <w:tcPr>
                        <w:tcW w:w="2000" w:type="dxa"/>
                        <w:gridSpan w:val="2"/>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Non-rigid</w:t>
                        </w:r>
                      </w:p>
                    </w:tc>
                    <w:tc>
                      <w:tcPr>
                        <w:tcW w:w="1239" w:type="dxa"/>
                        <w:vMerge w:val="restart"/>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P-value</w:t>
                        </w:r>
                      </w:p>
                    </w:tc>
                  </w:tr>
                  <w:tr w:rsidR="000362F0" w:rsidRPr="00F107B6" w:rsidTr="00F107B6">
                    <w:trPr>
                      <w:trHeight w:val="418"/>
                      <w:jc w:val="center"/>
                    </w:trPr>
                    <w:tc>
                      <w:tcPr>
                        <w:tcW w:w="0" w:type="auto"/>
                        <w:vMerge/>
                        <w:vAlign w:val="center"/>
                      </w:tcPr>
                      <w:p w:rsidR="000362F0" w:rsidRPr="00F107B6" w:rsidRDefault="000362F0" w:rsidP="00342F60">
                        <w:pPr>
                          <w:bidi w:val="0"/>
                          <w:spacing w:after="0" w:line="480" w:lineRule="auto"/>
                          <w:jc w:val="both"/>
                          <w:rPr>
                            <w:rFonts w:ascii="Times New Roman" w:hAnsi="Times New Roman" w:cs="Times New Roman"/>
                            <w:color w:val="000000"/>
                          </w:rPr>
                        </w:pPr>
                      </w:p>
                    </w:tc>
                    <w:tc>
                      <w:tcPr>
                        <w:tcW w:w="1061"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 xml:space="preserve">Mean </w:t>
                        </w:r>
                      </w:p>
                    </w:tc>
                    <w:tc>
                      <w:tcPr>
                        <w:tcW w:w="987"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SD</w:t>
                        </w:r>
                      </w:p>
                    </w:tc>
                    <w:tc>
                      <w:tcPr>
                        <w:tcW w:w="1042"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 xml:space="preserve">Mean </w:t>
                        </w:r>
                      </w:p>
                    </w:tc>
                    <w:tc>
                      <w:tcPr>
                        <w:tcW w:w="958"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SD</w:t>
                        </w:r>
                      </w:p>
                    </w:tc>
                    <w:tc>
                      <w:tcPr>
                        <w:tcW w:w="0" w:type="auto"/>
                        <w:vMerge/>
                        <w:vAlign w:val="center"/>
                      </w:tcPr>
                      <w:p w:rsidR="000362F0" w:rsidRPr="00F107B6" w:rsidRDefault="000362F0" w:rsidP="00342F60">
                        <w:pPr>
                          <w:bidi w:val="0"/>
                          <w:spacing w:after="0" w:line="480" w:lineRule="auto"/>
                          <w:jc w:val="both"/>
                          <w:rPr>
                            <w:rFonts w:ascii="Times New Roman" w:hAnsi="Times New Roman" w:cs="Times New Roman"/>
                            <w:color w:val="000000"/>
                          </w:rPr>
                        </w:pPr>
                      </w:p>
                    </w:tc>
                  </w:tr>
                  <w:tr w:rsidR="000362F0" w:rsidRPr="00F107B6" w:rsidTr="00F107B6">
                    <w:trPr>
                      <w:trHeight w:val="411"/>
                      <w:jc w:val="center"/>
                    </w:trPr>
                    <w:tc>
                      <w:tcPr>
                        <w:tcW w:w="1904"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Immediate</w:t>
                        </w:r>
                      </w:p>
                    </w:tc>
                    <w:tc>
                      <w:tcPr>
                        <w:tcW w:w="1061"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2.41</w:t>
                        </w:r>
                      </w:p>
                    </w:tc>
                    <w:tc>
                      <w:tcPr>
                        <w:tcW w:w="987"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0.42</w:t>
                        </w:r>
                      </w:p>
                    </w:tc>
                    <w:tc>
                      <w:tcPr>
                        <w:tcW w:w="1042"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1.18</w:t>
                        </w:r>
                      </w:p>
                    </w:tc>
                    <w:tc>
                      <w:tcPr>
                        <w:tcW w:w="958"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0.11</w:t>
                        </w:r>
                      </w:p>
                    </w:tc>
                    <w:tc>
                      <w:tcPr>
                        <w:tcW w:w="1239"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0.055</w:t>
                        </w:r>
                      </w:p>
                    </w:tc>
                  </w:tr>
                  <w:tr w:rsidR="000362F0" w:rsidRPr="00F107B6" w:rsidTr="00F107B6">
                    <w:trPr>
                      <w:trHeight w:val="411"/>
                      <w:jc w:val="center"/>
                    </w:trPr>
                    <w:tc>
                      <w:tcPr>
                        <w:tcW w:w="1904"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6 months</w:t>
                        </w:r>
                      </w:p>
                    </w:tc>
                    <w:tc>
                      <w:tcPr>
                        <w:tcW w:w="1061"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2.21</w:t>
                        </w:r>
                      </w:p>
                    </w:tc>
                    <w:tc>
                      <w:tcPr>
                        <w:tcW w:w="987"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0.39</w:t>
                        </w:r>
                      </w:p>
                    </w:tc>
                    <w:tc>
                      <w:tcPr>
                        <w:tcW w:w="1042"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1.30</w:t>
                        </w:r>
                      </w:p>
                    </w:tc>
                    <w:tc>
                      <w:tcPr>
                        <w:tcW w:w="958"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0.34</w:t>
                        </w:r>
                      </w:p>
                    </w:tc>
                    <w:tc>
                      <w:tcPr>
                        <w:tcW w:w="1239"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0.051</w:t>
                        </w:r>
                      </w:p>
                    </w:tc>
                  </w:tr>
                  <w:tr w:rsidR="000362F0" w:rsidRPr="00F107B6" w:rsidTr="00F107B6">
                    <w:trPr>
                      <w:trHeight w:val="411"/>
                      <w:jc w:val="center"/>
                    </w:trPr>
                    <w:tc>
                      <w:tcPr>
                        <w:tcW w:w="1904"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Bone loss</w:t>
                        </w:r>
                      </w:p>
                    </w:tc>
                    <w:tc>
                      <w:tcPr>
                        <w:tcW w:w="1061"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-0.20</w:t>
                        </w:r>
                      </w:p>
                    </w:tc>
                    <w:tc>
                      <w:tcPr>
                        <w:tcW w:w="987"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0.08</w:t>
                        </w:r>
                      </w:p>
                    </w:tc>
                    <w:tc>
                      <w:tcPr>
                        <w:tcW w:w="1042"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0.12</w:t>
                        </w:r>
                      </w:p>
                    </w:tc>
                    <w:tc>
                      <w:tcPr>
                        <w:tcW w:w="958"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0.04</w:t>
                        </w:r>
                      </w:p>
                    </w:tc>
                    <w:tc>
                      <w:tcPr>
                        <w:tcW w:w="1239"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0.008*</w:t>
                        </w:r>
                      </w:p>
                    </w:tc>
                  </w:tr>
                  <w:tr w:rsidR="000362F0" w:rsidRPr="00F107B6" w:rsidTr="00F107B6">
                    <w:trPr>
                      <w:trHeight w:val="411"/>
                      <w:jc w:val="center"/>
                    </w:trPr>
                    <w:tc>
                      <w:tcPr>
                        <w:tcW w:w="1904"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 loss</w:t>
                        </w:r>
                      </w:p>
                    </w:tc>
                    <w:tc>
                      <w:tcPr>
                        <w:tcW w:w="1061"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-8.1</w:t>
                        </w:r>
                      </w:p>
                    </w:tc>
                    <w:tc>
                      <w:tcPr>
                        <w:tcW w:w="987"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1.6</w:t>
                        </w:r>
                      </w:p>
                    </w:tc>
                    <w:tc>
                      <w:tcPr>
                        <w:tcW w:w="1042"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9.2</w:t>
                        </w:r>
                      </w:p>
                    </w:tc>
                    <w:tc>
                      <w:tcPr>
                        <w:tcW w:w="958"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2</w:t>
                        </w:r>
                      </w:p>
                    </w:tc>
                    <w:tc>
                      <w:tcPr>
                        <w:tcW w:w="1239" w:type="dxa"/>
                        <w:vAlign w:val="center"/>
                      </w:tcPr>
                      <w:p w:rsidR="000362F0" w:rsidRPr="00F107B6" w:rsidRDefault="000362F0" w:rsidP="00342F60">
                        <w:pPr>
                          <w:bidi w:val="0"/>
                          <w:spacing w:after="0" w:line="480" w:lineRule="auto"/>
                          <w:jc w:val="both"/>
                          <w:rPr>
                            <w:rFonts w:ascii="Times New Roman" w:hAnsi="Times New Roman" w:cs="Times New Roman"/>
                            <w:color w:val="000000"/>
                          </w:rPr>
                        </w:pPr>
                        <w:r w:rsidRPr="00F107B6">
                          <w:rPr>
                            <w:rFonts w:ascii="Times New Roman" w:hAnsi="Times New Roman" w:cs="Times New Roman"/>
                            <w:color w:val="000000"/>
                          </w:rPr>
                          <w:t>0.010*</w:t>
                        </w:r>
                      </w:p>
                    </w:tc>
                  </w:tr>
                </w:tbl>
                <w:p w:rsidR="00D902F9" w:rsidRDefault="000362F0" w:rsidP="00D902F9">
                  <w:pPr>
                    <w:bidi w:val="0"/>
                    <w:spacing w:after="0" w:line="480" w:lineRule="auto"/>
                    <w:ind w:left="900" w:firstLine="720"/>
                    <w:jc w:val="both"/>
                    <w:rPr>
                      <w:rFonts w:ascii="Times New Roman" w:hAnsi="Times New Roman" w:cs="Times New Roman"/>
                      <w:i/>
                      <w:iCs/>
                      <w:color w:val="000000"/>
                      <w:sz w:val="28"/>
                      <w:szCs w:val="28"/>
                    </w:rPr>
                  </w:pPr>
                  <w:r w:rsidRPr="00EB2F43">
                    <w:rPr>
                      <w:rFonts w:ascii="Times New Roman" w:hAnsi="Times New Roman" w:cs="Times New Roman"/>
                      <w:i/>
                      <w:iCs/>
                      <w:color w:val="000000"/>
                      <w:sz w:val="28"/>
                      <w:szCs w:val="28"/>
                    </w:rPr>
                    <w:tab/>
                    <w:t>*: Significant at P ≤ 0.05</w:t>
                  </w:r>
                </w:p>
                <w:p w:rsidR="00D902F9" w:rsidRPr="00EB2F43" w:rsidRDefault="00D902F9" w:rsidP="00D902F9">
                  <w:pPr>
                    <w:bidi w:val="0"/>
                    <w:spacing w:after="0" w:line="480" w:lineRule="auto"/>
                    <w:ind w:left="900" w:firstLine="720"/>
                    <w:jc w:val="both"/>
                    <w:rPr>
                      <w:rFonts w:ascii="Times New Roman" w:hAnsi="Times New Roman" w:cs="Times New Roman"/>
                      <w:i/>
                      <w:iCs/>
                      <w:color w:val="000000"/>
                      <w:sz w:val="28"/>
                      <w:szCs w:val="28"/>
                    </w:rPr>
                  </w:pPr>
                  <w:r>
                    <w:rPr>
                      <w:noProof/>
                    </w:rPr>
                    <w:drawing>
                      <wp:inline distT="0" distB="0" distL="0" distR="0">
                        <wp:extent cx="4288790" cy="2025015"/>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srcRect/>
                                <a:stretch>
                                  <a:fillRect/>
                                </a:stretch>
                              </pic:blipFill>
                              <pic:spPr bwMode="auto">
                                <a:xfrm>
                                  <a:off x="0" y="0"/>
                                  <a:ext cx="4288790" cy="2025015"/>
                                </a:xfrm>
                                <a:prstGeom prst="rect">
                                  <a:avLst/>
                                </a:prstGeom>
                                <a:noFill/>
                                <a:ln w="9525">
                                  <a:noFill/>
                                  <a:miter lim="800000"/>
                                  <a:headEnd/>
                                  <a:tailEnd/>
                                </a:ln>
                              </pic:spPr>
                            </pic:pic>
                          </a:graphicData>
                        </a:graphic>
                      </wp:inline>
                    </w:drawing>
                  </w:r>
                </w:p>
                <w:p w:rsidR="00D902F9" w:rsidRPr="0060555A" w:rsidRDefault="00D902F9" w:rsidP="00D902F9">
                  <w:pPr>
                    <w:bidi w:val="0"/>
                    <w:jc w:val="center"/>
                    <w:rPr>
                      <w:i/>
                      <w:iCs/>
                      <w:sz w:val="28"/>
                      <w:szCs w:val="28"/>
                    </w:rPr>
                  </w:pPr>
                  <w:r w:rsidRPr="0060555A">
                    <w:rPr>
                      <w:i/>
                      <w:iCs/>
                      <w:sz w:val="28"/>
                      <w:szCs w:val="28"/>
                    </w:rPr>
                    <w:t>Figure ( ): Mean % change around abutments in the two groups</w:t>
                  </w:r>
                </w:p>
                <w:p w:rsidR="00D902F9" w:rsidRDefault="00D902F9" w:rsidP="00D902F9">
                  <w:pPr>
                    <w:bidi w:val="0"/>
                    <w:jc w:val="center"/>
                  </w:pPr>
                </w:p>
                <w:p w:rsidR="000362F0" w:rsidRPr="00D902F9" w:rsidRDefault="000362F0" w:rsidP="00D902F9"/>
              </w:txbxContent>
            </v:textbox>
          </v:shape>
        </w:pict>
      </w:r>
    </w:p>
    <w:p w:rsidR="000362F0" w:rsidRPr="002D0908" w:rsidRDefault="000362F0" w:rsidP="00D87ACB">
      <w:pPr>
        <w:bidi w:val="0"/>
        <w:spacing w:line="480" w:lineRule="auto"/>
        <w:jc w:val="both"/>
        <w:rPr>
          <w:rFonts w:asciiTheme="majorBidi" w:hAnsiTheme="majorBidi" w:cstheme="majorBidi"/>
          <w:sz w:val="28"/>
          <w:szCs w:val="28"/>
          <w:rtl/>
        </w:rPr>
      </w:pPr>
    </w:p>
    <w:p w:rsidR="00D47625" w:rsidRPr="002D0908" w:rsidRDefault="00D47625" w:rsidP="00D87ACB">
      <w:pPr>
        <w:bidi w:val="0"/>
        <w:spacing w:line="480" w:lineRule="auto"/>
        <w:jc w:val="both"/>
        <w:rPr>
          <w:rFonts w:asciiTheme="majorBidi" w:hAnsiTheme="majorBidi" w:cstheme="majorBidi"/>
          <w:sz w:val="28"/>
          <w:szCs w:val="28"/>
          <w:rtl/>
          <w:lang w:bidi="ar-EG"/>
        </w:rPr>
      </w:pPr>
    </w:p>
    <w:p w:rsidR="00D47625" w:rsidRPr="002D0908" w:rsidRDefault="00D47625" w:rsidP="00D87ACB">
      <w:pPr>
        <w:bidi w:val="0"/>
        <w:spacing w:line="480" w:lineRule="auto"/>
        <w:jc w:val="both"/>
        <w:rPr>
          <w:rFonts w:asciiTheme="majorBidi" w:hAnsiTheme="majorBidi" w:cstheme="majorBidi"/>
          <w:sz w:val="28"/>
          <w:szCs w:val="28"/>
          <w:rtl/>
        </w:rPr>
      </w:pPr>
    </w:p>
    <w:p w:rsidR="00D47625" w:rsidRPr="002D0908" w:rsidRDefault="00D47625" w:rsidP="00D87ACB">
      <w:pPr>
        <w:bidi w:val="0"/>
        <w:spacing w:after="0" w:line="480" w:lineRule="auto"/>
        <w:jc w:val="both"/>
        <w:rPr>
          <w:rFonts w:asciiTheme="majorBidi" w:hAnsiTheme="majorBidi" w:cstheme="majorBidi"/>
          <w:i/>
          <w:iCs/>
          <w:color w:val="000000"/>
          <w:sz w:val="28"/>
          <w:szCs w:val="28"/>
        </w:rPr>
      </w:pPr>
    </w:p>
    <w:p w:rsidR="00D47625" w:rsidRPr="002D0908" w:rsidRDefault="00D47625" w:rsidP="00D87ACB">
      <w:pPr>
        <w:bidi w:val="0"/>
        <w:spacing w:after="0" w:line="480" w:lineRule="auto"/>
        <w:jc w:val="both"/>
        <w:rPr>
          <w:rFonts w:asciiTheme="majorBidi" w:hAnsiTheme="majorBidi" w:cstheme="majorBidi"/>
          <w:i/>
          <w:iCs/>
          <w:color w:val="000000"/>
          <w:sz w:val="28"/>
          <w:szCs w:val="28"/>
          <w:rtl/>
          <w:lang w:bidi="ar-EG"/>
        </w:rPr>
      </w:pPr>
    </w:p>
    <w:p w:rsidR="00D47625" w:rsidRPr="002D0908" w:rsidRDefault="00D47625" w:rsidP="00D87ACB">
      <w:pPr>
        <w:bidi w:val="0"/>
        <w:spacing w:line="480" w:lineRule="auto"/>
        <w:jc w:val="both"/>
        <w:rPr>
          <w:rFonts w:asciiTheme="majorBidi" w:hAnsiTheme="majorBidi" w:cstheme="majorBidi"/>
          <w:sz w:val="28"/>
          <w:szCs w:val="28"/>
        </w:rPr>
      </w:pPr>
    </w:p>
    <w:p w:rsidR="00D47625" w:rsidRPr="002D0908" w:rsidRDefault="00D47625" w:rsidP="00D87ACB">
      <w:pPr>
        <w:bidi w:val="0"/>
        <w:spacing w:line="480" w:lineRule="auto"/>
        <w:jc w:val="both"/>
        <w:rPr>
          <w:rFonts w:asciiTheme="majorBidi" w:hAnsiTheme="majorBidi" w:cstheme="majorBidi"/>
          <w:sz w:val="28"/>
          <w:szCs w:val="28"/>
        </w:rPr>
      </w:pPr>
    </w:p>
    <w:p w:rsidR="00D47625" w:rsidRPr="002D0908" w:rsidRDefault="00D47625" w:rsidP="00D87ACB">
      <w:pPr>
        <w:bidi w:val="0"/>
        <w:spacing w:line="480" w:lineRule="auto"/>
        <w:jc w:val="both"/>
        <w:rPr>
          <w:rFonts w:asciiTheme="majorBidi" w:hAnsiTheme="majorBidi" w:cstheme="majorBidi"/>
          <w:sz w:val="28"/>
          <w:szCs w:val="28"/>
        </w:rPr>
      </w:pPr>
    </w:p>
    <w:p w:rsidR="00D902F9" w:rsidRPr="002D0908" w:rsidRDefault="00D902F9">
      <w:pPr>
        <w:bidi w:val="0"/>
        <w:spacing w:after="0" w:line="240" w:lineRule="auto"/>
        <w:rPr>
          <w:rFonts w:asciiTheme="majorBidi" w:hAnsiTheme="majorBidi" w:cstheme="majorBidi"/>
          <w:sz w:val="28"/>
          <w:szCs w:val="28"/>
        </w:rPr>
      </w:pPr>
      <w:r w:rsidRPr="002D0908">
        <w:rPr>
          <w:rFonts w:asciiTheme="majorBidi" w:hAnsiTheme="majorBidi" w:cstheme="majorBidi"/>
          <w:sz w:val="28"/>
          <w:szCs w:val="28"/>
        </w:rPr>
        <w:br w:type="page"/>
      </w:r>
    </w:p>
    <w:p w:rsidR="000362F0" w:rsidRPr="002D0908" w:rsidRDefault="000362F0" w:rsidP="00D87ACB">
      <w:pPr>
        <w:bidi w:val="0"/>
        <w:spacing w:line="480" w:lineRule="auto"/>
        <w:jc w:val="both"/>
        <w:rPr>
          <w:rFonts w:asciiTheme="majorBidi" w:hAnsiTheme="majorBidi" w:cstheme="majorBidi"/>
          <w:sz w:val="28"/>
          <w:szCs w:val="28"/>
        </w:rPr>
      </w:pPr>
    </w:p>
    <w:p w:rsidR="000362F0" w:rsidRPr="002D0908" w:rsidRDefault="001919A5" w:rsidP="00D87ACB">
      <w:pPr>
        <w:bidi w:val="0"/>
        <w:spacing w:line="480" w:lineRule="auto"/>
        <w:jc w:val="both"/>
        <w:rPr>
          <w:rFonts w:asciiTheme="majorBidi" w:hAnsiTheme="majorBidi" w:cstheme="majorBidi"/>
          <w:sz w:val="28"/>
          <w:szCs w:val="28"/>
        </w:rPr>
      </w:pPr>
      <w:r w:rsidRPr="001919A5">
        <w:rPr>
          <w:rFonts w:asciiTheme="majorBidi" w:hAnsiTheme="majorBidi" w:cstheme="majorBidi"/>
          <w:noProof/>
          <w:color w:val="000000"/>
          <w:sz w:val="28"/>
          <w:szCs w:val="28"/>
          <w:lang w:eastAsia="zh-TW"/>
        </w:rPr>
        <w:pict>
          <v:shape id="_x0000_s1032" type="#_x0000_t202" style="position:absolute;left:0;text-align:left;margin-left:5.7pt;margin-top:38.7pt;width:458.7pt;height:525.95pt;z-index:251665408;mso-width-relative:margin;mso-height-relative:margin">
            <v:textbox style="mso-next-textbox:#_x0000_s1032">
              <w:txbxContent>
                <w:p w:rsidR="00612780" w:rsidRDefault="00612780" w:rsidP="00F107B6">
                  <w:pPr>
                    <w:bidi w:val="0"/>
                    <w:spacing w:after="0"/>
                    <w:jc w:val="center"/>
                    <w:rPr>
                      <w:rFonts w:ascii="Times New Roman" w:hAnsi="Times New Roman" w:cs="Times New Roman"/>
                      <w:i/>
                      <w:iCs/>
                      <w:color w:val="000000"/>
                      <w:sz w:val="24"/>
                      <w:szCs w:val="24"/>
                    </w:rPr>
                  </w:pPr>
                  <w:r w:rsidRPr="00F107B6">
                    <w:rPr>
                      <w:rFonts w:ascii="Times New Roman" w:hAnsi="Times New Roman" w:cs="Times New Roman"/>
                      <w:i/>
                      <w:iCs/>
                      <w:color w:val="000000"/>
                      <w:sz w:val="24"/>
                      <w:szCs w:val="24"/>
                    </w:rPr>
                    <w:t>Table (3): The mean, standard deviation (SD) values and results of Mann-Whitney U test for the comparison between density profile and its changes around the implants in the two groups</w:t>
                  </w:r>
                </w:p>
                <w:p w:rsidR="0060555A" w:rsidRPr="00F107B6" w:rsidRDefault="0060555A" w:rsidP="0060555A">
                  <w:pPr>
                    <w:bidi w:val="0"/>
                    <w:spacing w:after="0"/>
                    <w:jc w:val="center"/>
                    <w:rPr>
                      <w:rFonts w:ascii="Times New Roman" w:hAnsi="Times New Roman" w:cs="Times New Roman"/>
                      <w:i/>
                      <w:iCs/>
                      <w:color w:val="000000"/>
                      <w:sz w:val="24"/>
                      <w:szCs w:val="24"/>
                    </w:rPr>
                  </w:pPr>
                </w:p>
                <w:tbl>
                  <w:tblPr>
                    <w:bidiVisual/>
                    <w:tblW w:w="7206" w:type="dxa"/>
                    <w:jc w:val="center"/>
                    <w:tblInd w:w="40"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1E0"/>
                  </w:tblPr>
                  <w:tblGrid>
                    <w:gridCol w:w="1908"/>
                    <w:gridCol w:w="1064"/>
                    <w:gridCol w:w="989"/>
                    <w:gridCol w:w="1044"/>
                    <w:gridCol w:w="960"/>
                    <w:gridCol w:w="1241"/>
                  </w:tblGrid>
                  <w:tr w:rsidR="00612780" w:rsidRPr="00F107B6" w:rsidTr="00F107B6">
                    <w:trPr>
                      <w:trHeight w:val="694"/>
                      <w:jc w:val="center"/>
                    </w:trPr>
                    <w:tc>
                      <w:tcPr>
                        <w:tcW w:w="1908" w:type="dxa"/>
                        <w:vMerge w:val="restart"/>
                        <w:tcBorders>
                          <w:top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 xml:space="preserve">           Group</w:t>
                        </w:r>
                      </w:p>
                      <w:p w:rsidR="00612780" w:rsidRPr="00F107B6" w:rsidRDefault="00612780" w:rsidP="00342F60">
                        <w:pPr>
                          <w:bidi w:val="0"/>
                          <w:spacing w:after="0" w:line="480" w:lineRule="auto"/>
                          <w:jc w:val="both"/>
                          <w:rPr>
                            <w:rFonts w:ascii="Times New Roman" w:hAnsi="Times New Roman" w:cs="Times New Roman"/>
                            <w:color w:val="000000"/>
                            <w:sz w:val="20"/>
                            <w:szCs w:val="20"/>
                          </w:rPr>
                        </w:pPr>
                      </w:p>
                      <w:p w:rsidR="00612780" w:rsidRPr="00F107B6" w:rsidRDefault="00612780" w:rsidP="00342F60">
                        <w:pPr>
                          <w:bidi w:val="0"/>
                          <w:spacing w:after="0" w:line="480" w:lineRule="auto"/>
                          <w:jc w:val="both"/>
                          <w:rPr>
                            <w:rFonts w:ascii="Times New Roman" w:hAnsi="Times New Roman" w:cs="Times New Roman"/>
                            <w:color w:val="000000"/>
                            <w:sz w:val="20"/>
                            <w:szCs w:val="20"/>
                          </w:rPr>
                        </w:pPr>
                      </w:p>
                      <w:p w:rsidR="00612780" w:rsidRPr="00F107B6" w:rsidRDefault="00612780" w:rsidP="00342F60">
                        <w:pPr>
                          <w:bidi w:val="0"/>
                          <w:spacing w:after="0" w:line="480" w:lineRule="auto"/>
                          <w:jc w:val="both"/>
                          <w:rPr>
                            <w:rFonts w:ascii="Times New Roman" w:hAnsi="Times New Roman" w:cs="Times New Roman"/>
                            <w:color w:val="000000"/>
                            <w:sz w:val="20"/>
                            <w:szCs w:val="20"/>
                          </w:rPr>
                        </w:pPr>
                      </w:p>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Period</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Rigid</w:t>
                        </w:r>
                      </w:p>
                    </w:tc>
                    <w:tc>
                      <w:tcPr>
                        <w:tcW w:w="2004" w:type="dxa"/>
                        <w:gridSpan w:val="2"/>
                        <w:tcBorders>
                          <w:top w:val="single" w:sz="4" w:space="0" w:color="auto"/>
                          <w:left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Non-rigid</w:t>
                        </w:r>
                      </w:p>
                    </w:tc>
                    <w:tc>
                      <w:tcPr>
                        <w:tcW w:w="1241" w:type="dxa"/>
                        <w:vMerge w:val="restart"/>
                        <w:tcBorders>
                          <w:top w:val="single" w:sz="4" w:space="0" w:color="auto"/>
                          <w:left w:val="single" w:sz="4" w:space="0" w:color="auto"/>
                          <w:bottom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i/>
                            <w:iCs/>
                            <w:color w:val="000000"/>
                            <w:sz w:val="20"/>
                            <w:szCs w:val="20"/>
                          </w:rPr>
                          <w:t>P</w:t>
                        </w:r>
                        <w:r w:rsidRPr="00F107B6">
                          <w:rPr>
                            <w:rFonts w:ascii="Times New Roman" w:hAnsi="Times New Roman" w:cs="Times New Roman"/>
                            <w:color w:val="000000"/>
                            <w:sz w:val="20"/>
                            <w:szCs w:val="20"/>
                          </w:rPr>
                          <w:t>-value</w:t>
                        </w:r>
                      </w:p>
                    </w:tc>
                  </w:tr>
                  <w:tr w:rsidR="00612780" w:rsidRPr="00F107B6" w:rsidTr="00F107B6">
                    <w:trPr>
                      <w:trHeight w:val="472"/>
                      <w:jc w:val="center"/>
                    </w:trPr>
                    <w:tc>
                      <w:tcPr>
                        <w:tcW w:w="0" w:type="auto"/>
                        <w:vMerge/>
                        <w:tcBorders>
                          <w:top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p>
                    </w:tc>
                    <w:tc>
                      <w:tcPr>
                        <w:tcW w:w="1064" w:type="dxa"/>
                        <w:tcBorders>
                          <w:top w:val="single" w:sz="4" w:space="0" w:color="auto"/>
                          <w:left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 xml:space="preserve">Mean </w:t>
                        </w:r>
                      </w:p>
                    </w:tc>
                    <w:tc>
                      <w:tcPr>
                        <w:tcW w:w="989" w:type="dxa"/>
                        <w:tcBorders>
                          <w:top w:val="single" w:sz="4" w:space="0" w:color="auto"/>
                          <w:left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SD</w:t>
                        </w:r>
                      </w:p>
                    </w:tc>
                    <w:tc>
                      <w:tcPr>
                        <w:tcW w:w="1044" w:type="dxa"/>
                        <w:tcBorders>
                          <w:top w:val="single" w:sz="4" w:space="0" w:color="auto"/>
                          <w:left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 xml:space="preserve">Mean </w:t>
                        </w:r>
                      </w:p>
                    </w:tc>
                    <w:tc>
                      <w:tcPr>
                        <w:tcW w:w="960" w:type="dxa"/>
                        <w:tcBorders>
                          <w:top w:val="single" w:sz="4" w:space="0" w:color="auto"/>
                          <w:left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SD</w:t>
                        </w:r>
                      </w:p>
                    </w:tc>
                    <w:tc>
                      <w:tcPr>
                        <w:tcW w:w="0" w:type="auto"/>
                        <w:vMerge/>
                        <w:tcBorders>
                          <w:top w:val="single" w:sz="4" w:space="0" w:color="auto"/>
                          <w:left w:val="single" w:sz="4" w:space="0" w:color="auto"/>
                          <w:bottom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p>
                    </w:tc>
                  </w:tr>
                  <w:tr w:rsidR="00612780" w:rsidRPr="00F107B6" w:rsidTr="00F107B6">
                    <w:trPr>
                      <w:trHeight w:val="463"/>
                      <w:jc w:val="center"/>
                    </w:trPr>
                    <w:tc>
                      <w:tcPr>
                        <w:tcW w:w="1908" w:type="dxa"/>
                        <w:tcBorders>
                          <w:top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Immediate</w:t>
                        </w:r>
                      </w:p>
                    </w:tc>
                    <w:tc>
                      <w:tcPr>
                        <w:tcW w:w="1064" w:type="dxa"/>
                        <w:tcBorders>
                          <w:top w:val="single" w:sz="4" w:space="0" w:color="auto"/>
                          <w:left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768</w:t>
                        </w:r>
                      </w:p>
                    </w:tc>
                    <w:tc>
                      <w:tcPr>
                        <w:tcW w:w="989" w:type="dxa"/>
                        <w:tcBorders>
                          <w:top w:val="single" w:sz="4" w:space="0" w:color="auto"/>
                          <w:left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89.5</w:t>
                        </w:r>
                      </w:p>
                    </w:tc>
                    <w:tc>
                      <w:tcPr>
                        <w:tcW w:w="1044" w:type="dxa"/>
                        <w:tcBorders>
                          <w:top w:val="single" w:sz="4" w:space="0" w:color="auto"/>
                          <w:left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1129.3</w:t>
                        </w:r>
                      </w:p>
                    </w:tc>
                    <w:tc>
                      <w:tcPr>
                        <w:tcW w:w="960" w:type="dxa"/>
                        <w:tcBorders>
                          <w:top w:val="single" w:sz="4" w:space="0" w:color="auto"/>
                          <w:left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77.8</w:t>
                        </w:r>
                      </w:p>
                    </w:tc>
                    <w:tc>
                      <w:tcPr>
                        <w:tcW w:w="1241" w:type="dxa"/>
                        <w:tcBorders>
                          <w:top w:val="single" w:sz="4" w:space="0" w:color="auto"/>
                          <w:left w:val="single" w:sz="4" w:space="0" w:color="auto"/>
                          <w:bottom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0.021*</w:t>
                        </w:r>
                      </w:p>
                    </w:tc>
                  </w:tr>
                  <w:tr w:rsidR="00612780" w:rsidRPr="00F107B6" w:rsidTr="00F107B6">
                    <w:trPr>
                      <w:trHeight w:val="463"/>
                      <w:jc w:val="center"/>
                    </w:trPr>
                    <w:tc>
                      <w:tcPr>
                        <w:tcW w:w="1908" w:type="dxa"/>
                        <w:tcBorders>
                          <w:top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6 months</w:t>
                        </w:r>
                      </w:p>
                    </w:tc>
                    <w:tc>
                      <w:tcPr>
                        <w:tcW w:w="1064" w:type="dxa"/>
                        <w:tcBorders>
                          <w:top w:val="single" w:sz="4" w:space="0" w:color="auto"/>
                          <w:left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708.7</w:t>
                        </w:r>
                      </w:p>
                    </w:tc>
                    <w:tc>
                      <w:tcPr>
                        <w:tcW w:w="989" w:type="dxa"/>
                        <w:tcBorders>
                          <w:top w:val="single" w:sz="4" w:space="0" w:color="auto"/>
                          <w:left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68.1</w:t>
                        </w:r>
                      </w:p>
                    </w:tc>
                    <w:tc>
                      <w:tcPr>
                        <w:tcW w:w="1044" w:type="dxa"/>
                        <w:tcBorders>
                          <w:top w:val="single" w:sz="4" w:space="0" w:color="auto"/>
                          <w:left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807.3</w:t>
                        </w:r>
                      </w:p>
                    </w:tc>
                    <w:tc>
                      <w:tcPr>
                        <w:tcW w:w="960" w:type="dxa"/>
                        <w:tcBorders>
                          <w:top w:val="single" w:sz="4" w:space="0" w:color="auto"/>
                          <w:left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15.6</w:t>
                        </w:r>
                      </w:p>
                    </w:tc>
                    <w:tc>
                      <w:tcPr>
                        <w:tcW w:w="1241" w:type="dxa"/>
                        <w:tcBorders>
                          <w:top w:val="single" w:sz="4" w:space="0" w:color="auto"/>
                          <w:left w:val="single" w:sz="4" w:space="0" w:color="auto"/>
                          <w:bottom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0.050*</w:t>
                        </w:r>
                      </w:p>
                    </w:tc>
                  </w:tr>
                  <w:tr w:rsidR="00612780" w:rsidRPr="00F107B6" w:rsidTr="00F107B6">
                    <w:trPr>
                      <w:trHeight w:val="463"/>
                      <w:jc w:val="center"/>
                    </w:trPr>
                    <w:tc>
                      <w:tcPr>
                        <w:tcW w:w="1908" w:type="dxa"/>
                        <w:tcBorders>
                          <w:top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 change</w:t>
                        </w:r>
                      </w:p>
                    </w:tc>
                    <w:tc>
                      <w:tcPr>
                        <w:tcW w:w="1064" w:type="dxa"/>
                        <w:tcBorders>
                          <w:top w:val="single" w:sz="4" w:space="0" w:color="auto"/>
                          <w:left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-95.3</w:t>
                        </w:r>
                      </w:p>
                    </w:tc>
                    <w:tc>
                      <w:tcPr>
                        <w:tcW w:w="989" w:type="dxa"/>
                        <w:tcBorders>
                          <w:top w:val="single" w:sz="4" w:space="0" w:color="auto"/>
                          <w:left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21.6</w:t>
                        </w:r>
                      </w:p>
                    </w:tc>
                    <w:tc>
                      <w:tcPr>
                        <w:tcW w:w="1044" w:type="dxa"/>
                        <w:tcBorders>
                          <w:top w:val="single" w:sz="4" w:space="0" w:color="auto"/>
                          <w:left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-322</w:t>
                        </w:r>
                      </w:p>
                    </w:tc>
                    <w:tc>
                      <w:tcPr>
                        <w:tcW w:w="960" w:type="dxa"/>
                        <w:tcBorders>
                          <w:top w:val="single" w:sz="4" w:space="0" w:color="auto"/>
                          <w:left w:val="single" w:sz="4" w:space="0" w:color="auto"/>
                          <w:bottom w:val="single" w:sz="4" w:space="0" w:color="auto"/>
                          <w:right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75.3</w:t>
                        </w:r>
                      </w:p>
                    </w:tc>
                    <w:tc>
                      <w:tcPr>
                        <w:tcW w:w="1241" w:type="dxa"/>
                        <w:tcBorders>
                          <w:top w:val="single" w:sz="4" w:space="0" w:color="auto"/>
                          <w:left w:val="single" w:sz="4" w:space="0" w:color="auto"/>
                          <w:bottom w:val="single" w:sz="4" w:space="0" w:color="auto"/>
                        </w:tcBorders>
                        <w:vAlign w:val="center"/>
                      </w:tcPr>
                      <w:p w:rsidR="00612780" w:rsidRPr="00F107B6" w:rsidRDefault="00612780" w:rsidP="00342F60">
                        <w:pPr>
                          <w:bidi w:val="0"/>
                          <w:spacing w:after="0" w:line="480" w:lineRule="auto"/>
                          <w:jc w:val="both"/>
                          <w:rPr>
                            <w:rFonts w:ascii="Times New Roman" w:hAnsi="Times New Roman" w:cs="Times New Roman"/>
                            <w:color w:val="000000"/>
                            <w:sz w:val="20"/>
                            <w:szCs w:val="20"/>
                          </w:rPr>
                        </w:pPr>
                        <w:r w:rsidRPr="00F107B6">
                          <w:rPr>
                            <w:rFonts w:ascii="Times New Roman" w:hAnsi="Times New Roman" w:cs="Times New Roman"/>
                            <w:color w:val="000000"/>
                            <w:sz w:val="20"/>
                            <w:szCs w:val="20"/>
                          </w:rPr>
                          <w:t>&lt;0.001*</w:t>
                        </w:r>
                      </w:p>
                    </w:tc>
                  </w:tr>
                </w:tbl>
                <w:p w:rsidR="00612780" w:rsidRDefault="00612780" w:rsidP="00612780">
                  <w:pPr>
                    <w:bidi w:val="0"/>
                    <w:spacing w:after="0" w:line="480" w:lineRule="auto"/>
                    <w:ind w:left="900" w:firstLine="720"/>
                    <w:jc w:val="both"/>
                    <w:rPr>
                      <w:rFonts w:ascii="Times New Roman" w:hAnsi="Times New Roman" w:cs="Times New Roman"/>
                      <w:i/>
                      <w:iCs/>
                      <w:color w:val="000000"/>
                      <w:sz w:val="28"/>
                      <w:szCs w:val="28"/>
                    </w:rPr>
                  </w:pPr>
                  <w:r w:rsidRPr="00EB2F43">
                    <w:rPr>
                      <w:rFonts w:ascii="Times New Roman" w:hAnsi="Times New Roman" w:cs="Times New Roman"/>
                      <w:i/>
                      <w:iCs/>
                      <w:color w:val="000000"/>
                      <w:sz w:val="28"/>
                      <w:szCs w:val="28"/>
                    </w:rPr>
                    <w:t>*: Significant at P ≤ 0.05</w:t>
                  </w:r>
                </w:p>
                <w:p w:rsidR="00D902F9" w:rsidRDefault="00D902F9" w:rsidP="00D902F9">
                  <w:pPr>
                    <w:bidi w:val="0"/>
                    <w:spacing w:after="0" w:line="480" w:lineRule="auto"/>
                    <w:ind w:left="900" w:firstLine="720"/>
                    <w:jc w:val="both"/>
                    <w:rPr>
                      <w:rFonts w:ascii="Times New Roman" w:hAnsi="Times New Roman" w:cs="Times New Roman"/>
                      <w:i/>
                      <w:iCs/>
                      <w:color w:val="000000"/>
                      <w:sz w:val="28"/>
                      <w:szCs w:val="28"/>
                    </w:rPr>
                  </w:pPr>
                  <w:r>
                    <w:rPr>
                      <w:noProof/>
                    </w:rPr>
                    <w:drawing>
                      <wp:inline distT="0" distB="0" distL="0" distR="0">
                        <wp:extent cx="4288790" cy="2025015"/>
                        <wp:effectExtent l="0" t="0" r="0" b="0"/>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4288790" cy="2025015"/>
                                </a:xfrm>
                                <a:prstGeom prst="rect">
                                  <a:avLst/>
                                </a:prstGeom>
                                <a:noFill/>
                                <a:ln w="9525">
                                  <a:noFill/>
                                  <a:miter lim="800000"/>
                                  <a:headEnd/>
                                  <a:tailEnd/>
                                </a:ln>
                              </pic:spPr>
                            </pic:pic>
                          </a:graphicData>
                        </a:graphic>
                      </wp:inline>
                    </w:drawing>
                  </w:r>
                </w:p>
                <w:p w:rsidR="00D902F9" w:rsidRPr="0060555A" w:rsidRDefault="00D902F9" w:rsidP="00D902F9">
                  <w:pPr>
                    <w:bidi w:val="0"/>
                    <w:jc w:val="center"/>
                    <w:rPr>
                      <w:i/>
                      <w:iCs/>
                      <w:sz w:val="24"/>
                      <w:szCs w:val="24"/>
                    </w:rPr>
                  </w:pPr>
                  <w:r w:rsidRPr="0060555A">
                    <w:rPr>
                      <w:i/>
                      <w:iCs/>
                      <w:sz w:val="24"/>
                      <w:szCs w:val="24"/>
                    </w:rPr>
                    <w:t>Figure ( ): Mean % change in bone density around implants in the two groups</w:t>
                  </w:r>
                </w:p>
                <w:p w:rsidR="00D902F9" w:rsidRDefault="00D902F9" w:rsidP="00D902F9">
                  <w:pPr>
                    <w:bidi w:val="0"/>
                    <w:spacing w:after="0" w:line="480" w:lineRule="auto"/>
                    <w:ind w:left="900" w:firstLine="720"/>
                    <w:jc w:val="both"/>
                    <w:rPr>
                      <w:rFonts w:ascii="Times New Roman" w:hAnsi="Times New Roman" w:cs="Times New Roman"/>
                      <w:i/>
                      <w:iCs/>
                      <w:color w:val="000000"/>
                      <w:sz w:val="28"/>
                      <w:szCs w:val="28"/>
                    </w:rPr>
                  </w:pPr>
                </w:p>
                <w:p w:rsidR="00D902F9" w:rsidRPr="00EB2F43" w:rsidRDefault="00D902F9" w:rsidP="00D902F9">
                  <w:pPr>
                    <w:bidi w:val="0"/>
                    <w:spacing w:after="0" w:line="480" w:lineRule="auto"/>
                    <w:ind w:left="900" w:firstLine="720"/>
                    <w:jc w:val="both"/>
                    <w:rPr>
                      <w:rFonts w:ascii="Times New Roman" w:hAnsi="Times New Roman" w:cs="Times New Roman"/>
                      <w:color w:val="000000"/>
                      <w:sz w:val="28"/>
                      <w:szCs w:val="28"/>
                    </w:rPr>
                  </w:pPr>
                </w:p>
                <w:p w:rsidR="00612780" w:rsidRPr="00612780" w:rsidRDefault="00612780" w:rsidP="00612780"/>
              </w:txbxContent>
            </v:textbox>
          </v:shape>
        </w:pict>
      </w:r>
    </w:p>
    <w:p w:rsidR="000362F0" w:rsidRPr="002D0908" w:rsidRDefault="000362F0" w:rsidP="00D87ACB">
      <w:pPr>
        <w:bidi w:val="0"/>
        <w:spacing w:line="480" w:lineRule="auto"/>
        <w:jc w:val="both"/>
        <w:rPr>
          <w:rFonts w:asciiTheme="majorBidi" w:hAnsiTheme="majorBidi" w:cstheme="majorBidi"/>
          <w:sz w:val="28"/>
          <w:szCs w:val="28"/>
        </w:rPr>
      </w:pPr>
    </w:p>
    <w:p w:rsidR="000362F0" w:rsidRPr="002D0908" w:rsidRDefault="000362F0" w:rsidP="00D87ACB">
      <w:pPr>
        <w:bidi w:val="0"/>
        <w:spacing w:line="480" w:lineRule="auto"/>
        <w:jc w:val="both"/>
        <w:rPr>
          <w:rFonts w:asciiTheme="majorBidi" w:hAnsiTheme="majorBidi" w:cstheme="majorBidi"/>
          <w:sz w:val="28"/>
          <w:szCs w:val="28"/>
        </w:rPr>
      </w:pPr>
    </w:p>
    <w:p w:rsidR="00D47625" w:rsidRPr="002D0908" w:rsidRDefault="00D47625" w:rsidP="00D87ACB">
      <w:pPr>
        <w:bidi w:val="0"/>
        <w:spacing w:line="480" w:lineRule="auto"/>
        <w:jc w:val="both"/>
        <w:rPr>
          <w:rFonts w:asciiTheme="majorBidi" w:hAnsiTheme="majorBidi" w:cstheme="majorBidi"/>
          <w:sz w:val="28"/>
          <w:szCs w:val="28"/>
        </w:rPr>
      </w:pPr>
    </w:p>
    <w:p w:rsidR="00D47625" w:rsidRPr="002D0908" w:rsidRDefault="00D47625" w:rsidP="00D87ACB">
      <w:pPr>
        <w:bidi w:val="0"/>
        <w:spacing w:after="0" w:line="480" w:lineRule="auto"/>
        <w:jc w:val="both"/>
        <w:rPr>
          <w:rFonts w:asciiTheme="majorBidi" w:hAnsiTheme="majorBidi" w:cstheme="majorBidi"/>
          <w:color w:val="000000"/>
          <w:sz w:val="28"/>
          <w:szCs w:val="28"/>
        </w:rPr>
      </w:pPr>
    </w:p>
    <w:p w:rsidR="00612780" w:rsidRPr="002D0908" w:rsidRDefault="00612780" w:rsidP="00D87ACB">
      <w:pPr>
        <w:bidi w:val="0"/>
        <w:spacing w:after="0" w:line="480" w:lineRule="auto"/>
        <w:jc w:val="both"/>
        <w:rPr>
          <w:rFonts w:asciiTheme="majorBidi" w:hAnsiTheme="majorBidi" w:cstheme="majorBidi"/>
          <w:color w:val="000000"/>
          <w:sz w:val="28"/>
          <w:szCs w:val="28"/>
        </w:rPr>
      </w:pPr>
    </w:p>
    <w:p w:rsidR="00D47625" w:rsidRPr="002D0908" w:rsidRDefault="00D47625" w:rsidP="00D87ACB">
      <w:pPr>
        <w:bidi w:val="0"/>
        <w:spacing w:after="0" w:line="480" w:lineRule="auto"/>
        <w:jc w:val="both"/>
        <w:rPr>
          <w:rFonts w:asciiTheme="majorBidi" w:hAnsiTheme="majorBidi" w:cstheme="majorBidi"/>
          <w:color w:val="000000"/>
          <w:sz w:val="28"/>
          <w:szCs w:val="28"/>
          <w:lang w:bidi="ar-EG"/>
        </w:rPr>
      </w:pPr>
    </w:p>
    <w:p w:rsidR="00D47625" w:rsidRPr="002D0908" w:rsidRDefault="00D47625" w:rsidP="00D87ACB">
      <w:pPr>
        <w:bidi w:val="0"/>
        <w:spacing w:line="480" w:lineRule="auto"/>
        <w:jc w:val="both"/>
        <w:rPr>
          <w:rFonts w:asciiTheme="majorBidi" w:hAnsiTheme="majorBidi" w:cstheme="majorBidi"/>
          <w:sz w:val="28"/>
          <w:szCs w:val="28"/>
        </w:rPr>
      </w:pPr>
    </w:p>
    <w:p w:rsidR="00D47625" w:rsidRPr="002D0908" w:rsidRDefault="00D47625" w:rsidP="00D87ACB">
      <w:pPr>
        <w:bidi w:val="0"/>
        <w:spacing w:line="480" w:lineRule="auto"/>
        <w:jc w:val="both"/>
        <w:rPr>
          <w:rFonts w:asciiTheme="majorBidi" w:hAnsiTheme="majorBidi" w:cstheme="majorBidi"/>
          <w:sz w:val="28"/>
          <w:szCs w:val="28"/>
        </w:rPr>
      </w:pPr>
    </w:p>
    <w:p w:rsidR="00D47625" w:rsidRPr="002D0908" w:rsidRDefault="00D47625" w:rsidP="00D87ACB">
      <w:pPr>
        <w:bidi w:val="0"/>
        <w:spacing w:line="480" w:lineRule="auto"/>
        <w:jc w:val="both"/>
        <w:rPr>
          <w:rFonts w:asciiTheme="majorBidi" w:hAnsiTheme="majorBidi" w:cstheme="majorBidi"/>
          <w:sz w:val="28"/>
          <w:szCs w:val="28"/>
        </w:rPr>
      </w:pPr>
    </w:p>
    <w:p w:rsidR="00D47625" w:rsidRPr="002D0908" w:rsidRDefault="00D47625" w:rsidP="00D87ACB">
      <w:pPr>
        <w:bidi w:val="0"/>
        <w:spacing w:line="480" w:lineRule="auto"/>
        <w:jc w:val="both"/>
        <w:rPr>
          <w:rFonts w:asciiTheme="majorBidi" w:hAnsiTheme="majorBidi" w:cstheme="majorBidi"/>
          <w:sz w:val="28"/>
          <w:szCs w:val="28"/>
        </w:rPr>
      </w:pPr>
    </w:p>
    <w:p w:rsidR="00D47625" w:rsidRPr="002D0908" w:rsidRDefault="00D47625" w:rsidP="00D87ACB">
      <w:pPr>
        <w:bidi w:val="0"/>
        <w:spacing w:line="480" w:lineRule="auto"/>
        <w:jc w:val="both"/>
        <w:rPr>
          <w:rFonts w:asciiTheme="majorBidi" w:hAnsiTheme="majorBidi" w:cstheme="majorBidi"/>
          <w:sz w:val="28"/>
          <w:szCs w:val="28"/>
        </w:rPr>
      </w:pPr>
    </w:p>
    <w:p w:rsidR="00612780" w:rsidRPr="002D0908" w:rsidRDefault="00612780" w:rsidP="00D87ACB">
      <w:pPr>
        <w:bidi w:val="0"/>
        <w:spacing w:line="480" w:lineRule="auto"/>
        <w:jc w:val="both"/>
        <w:rPr>
          <w:rFonts w:asciiTheme="majorBidi" w:hAnsiTheme="majorBidi" w:cstheme="majorBidi"/>
          <w:sz w:val="28"/>
          <w:szCs w:val="28"/>
        </w:rPr>
      </w:pPr>
    </w:p>
    <w:p w:rsidR="00612780" w:rsidRPr="002D0908" w:rsidRDefault="00612780" w:rsidP="00D87ACB">
      <w:pPr>
        <w:bidi w:val="0"/>
        <w:spacing w:line="480" w:lineRule="auto"/>
        <w:jc w:val="both"/>
        <w:rPr>
          <w:rFonts w:asciiTheme="majorBidi" w:hAnsiTheme="majorBidi" w:cstheme="majorBidi"/>
          <w:sz w:val="28"/>
          <w:szCs w:val="28"/>
        </w:rPr>
      </w:pPr>
    </w:p>
    <w:p w:rsidR="00612780" w:rsidRPr="002D0908" w:rsidRDefault="00612780" w:rsidP="00D87ACB">
      <w:pPr>
        <w:bidi w:val="0"/>
        <w:spacing w:line="480" w:lineRule="auto"/>
        <w:jc w:val="both"/>
        <w:rPr>
          <w:rFonts w:asciiTheme="majorBidi" w:hAnsiTheme="majorBidi" w:cstheme="majorBidi"/>
          <w:sz w:val="28"/>
          <w:szCs w:val="28"/>
        </w:rPr>
      </w:pPr>
    </w:p>
    <w:p w:rsidR="00612780" w:rsidRPr="002D0908" w:rsidRDefault="001919A5" w:rsidP="00D87ACB">
      <w:pPr>
        <w:bidi w:val="0"/>
        <w:spacing w:line="480" w:lineRule="auto"/>
        <w:jc w:val="both"/>
        <w:rPr>
          <w:rFonts w:asciiTheme="majorBidi" w:hAnsiTheme="majorBidi" w:cstheme="majorBidi"/>
          <w:sz w:val="28"/>
          <w:szCs w:val="28"/>
        </w:rPr>
      </w:pPr>
      <w:r>
        <w:rPr>
          <w:rFonts w:asciiTheme="majorBidi" w:hAnsiTheme="majorBidi" w:cstheme="majorBidi"/>
          <w:noProof/>
          <w:sz w:val="28"/>
          <w:szCs w:val="28"/>
          <w:lang w:eastAsia="zh-TW"/>
        </w:rPr>
        <w:pict>
          <v:shape id="_x0000_s1034" type="#_x0000_t202" style="position:absolute;left:0;text-align:left;margin-left:38.65pt;margin-top:131.4pt;width:399.7pt;height:357.95pt;z-index:251669504;mso-height-percent:200;mso-height-percent:200;mso-width-relative:margin;mso-height-relative:margin">
            <v:textbox style="mso-next-textbox:#_x0000_s1034;mso-fit-shape-to-text:t">
              <w:txbxContent>
                <w:p w:rsidR="00D902F9" w:rsidRPr="005A33EC" w:rsidRDefault="00D902F9" w:rsidP="00D902F9">
                  <w:pPr>
                    <w:bidi w:val="0"/>
                    <w:rPr>
                      <w:sz w:val="28"/>
                      <w:szCs w:val="28"/>
                    </w:rPr>
                  </w:pPr>
                  <w:r w:rsidRPr="005A33EC">
                    <w:rPr>
                      <w:sz w:val="28"/>
                      <w:szCs w:val="28"/>
                    </w:rPr>
                    <w:t xml:space="preserve">Table ( ): The mean, standard deviation (SD) values and results of </w:t>
                  </w:r>
                  <w:r>
                    <w:rPr>
                      <w:sz w:val="28"/>
                      <w:szCs w:val="28"/>
                    </w:rPr>
                    <w:t>Mann-Whitney U test</w:t>
                  </w:r>
                  <w:r w:rsidRPr="005A33EC">
                    <w:rPr>
                      <w:sz w:val="28"/>
                      <w:szCs w:val="28"/>
                    </w:rPr>
                    <w:t xml:space="preserve"> for the comparison between </w:t>
                  </w:r>
                  <w:r>
                    <w:rPr>
                      <w:sz w:val="28"/>
                      <w:szCs w:val="28"/>
                    </w:rPr>
                    <w:t>bone density</w:t>
                  </w:r>
                  <w:r w:rsidRPr="005A33EC">
                    <w:rPr>
                      <w:sz w:val="28"/>
                      <w:szCs w:val="28"/>
                    </w:rPr>
                    <w:t xml:space="preserve"> </w:t>
                  </w:r>
                  <w:r>
                    <w:rPr>
                      <w:sz w:val="28"/>
                      <w:szCs w:val="28"/>
                    </w:rPr>
                    <w:t xml:space="preserve">and its changes around the abutments </w:t>
                  </w:r>
                  <w:r w:rsidRPr="005A33EC">
                    <w:rPr>
                      <w:sz w:val="28"/>
                      <w:szCs w:val="28"/>
                    </w:rPr>
                    <w:t>in the two groups</w:t>
                  </w:r>
                </w:p>
                <w:p w:rsidR="00D902F9" w:rsidRDefault="00D902F9" w:rsidP="00D902F9">
                  <w:pPr>
                    <w:bidi w:val="0"/>
                  </w:pPr>
                </w:p>
                <w:tbl>
                  <w:tblPr>
                    <w:tblStyle w:val="TableGrid"/>
                    <w:tblW w:w="6983" w:type="dxa"/>
                    <w:jc w:val="center"/>
                    <w:tblInd w:w="40" w:type="dxa"/>
                    <w:tblCellMar>
                      <w:left w:w="115" w:type="dxa"/>
                      <w:right w:w="115" w:type="dxa"/>
                    </w:tblCellMar>
                    <w:tblLook w:val="01E0"/>
                  </w:tblPr>
                  <w:tblGrid>
                    <w:gridCol w:w="1849"/>
                    <w:gridCol w:w="1031"/>
                    <w:gridCol w:w="958"/>
                    <w:gridCol w:w="1012"/>
                    <w:gridCol w:w="930"/>
                    <w:gridCol w:w="1203"/>
                  </w:tblGrid>
                  <w:tr w:rsidR="00D902F9" w:rsidRPr="009C4739" w:rsidTr="00342F60">
                    <w:trPr>
                      <w:trHeight w:val="794"/>
                      <w:jc w:val="center"/>
                    </w:trPr>
                    <w:tc>
                      <w:tcPr>
                        <w:tcW w:w="1849" w:type="dxa"/>
                        <w:vMerge w:val="restart"/>
                        <w:tcBorders>
                          <w:tl2br w:val="single" w:sz="4" w:space="0" w:color="auto"/>
                        </w:tcBorders>
                        <w:vAlign w:val="center"/>
                      </w:tcPr>
                      <w:p w:rsidR="00D902F9" w:rsidRPr="009C4739" w:rsidRDefault="00D902F9" w:rsidP="00342F60">
                        <w:pPr>
                          <w:bidi w:val="0"/>
                        </w:pPr>
                        <w:r w:rsidRPr="009C4739">
                          <w:t xml:space="preserve">           Group</w:t>
                        </w:r>
                      </w:p>
                      <w:p w:rsidR="00D902F9" w:rsidRPr="009C4739" w:rsidRDefault="00D902F9" w:rsidP="00342F60">
                        <w:pPr>
                          <w:bidi w:val="0"/>
                        </w:pPr>
                      </w:p>
                      <w:p w:rsidR="00D902F9" w:rsidRPr="009C4739" w:rsidRDefault="00D902F9" w:rsidP="00342F60">
                        <w:pPr>
                          <w:bidi w:val="0"/>
                        </w:pPr>
                      </w:p>
                      <w:p w:rsidR="00D902F9" w:rsidRPr="009C4739" w:rsidRDefault="00D902F9" w:rsidP="00342F60">
                        <w:pPr>
                          <w:bidi w:val="0"/>
                        </w:pPr>
                      </w:p>
                      <w:p w:rsidR="00D902F9" w:rsidRPr="009C4739" w:rsidRDefault="00D902F9" w:rsidP="00342F60">
                        <w:pPr>
                          <w:bidi w:val="0"/>
                        </w:pPr>
                        <w:r w:rsidRPr="009C4739">
                          <w:t>Period</w:t>
                        </w:r>
                      </w:p>
                    </w:tc>
                    <w:tc>
                      <w:tcPr>
                        <w:tcW w:w="1989" w:type="dxa"/>
                        <w:gridSpan w:val="2"/>
                        <w:tcBorders>
                          <w:bottom w:val="single" w:sz="4" w:space="0" w:color="auto"/>
                          <w:tl2br w:val="nil"/>
                        </w:tcBorders>
                        <w:vAlign w:val="center"/>
                      </w:tcPr>
                      <w:p w:rsidR="00D902F9" w:rsidRPr="009C4739" w:rsidRDefault="00D902F9" w:rsidP="00342F60">
                        <w:pPr>
                          <w:bidi w:val="0"/>
                          <w:jc w:val="center"/>
                        </w:pPr>
                        <w:r>
                          <w:t>Rigid</w:t>
                        </w:r>
                      </w:p>
                    </w:tc>
                    <w:tc>
                      <w:tcPr>
                        <w:tcW w:w="1942" w:type="dxa"/>
                        <w:gridSpan w:val="2"/>
                        <w:tcBorders>
                          <w:bottom w:val="single" w:sz="4" w:space="0" w:color="auto"/>
                          <w:tl2br w:val="nil"/>
                        </w:tcBorders>
                        <w:vAlign w:val="center"/>
                      </w:tcPr>
                      <w:p w:rsidR="00D902F9" w:rsidRPr="009C4739" w:rsidRDefault="00D902F9" w:rsidP="00342F60">
                        <w:pPr>
                          <w:bidi w:val="0"/>
                          <w:jc w:val="center"/>
                        </w:pPr>
                        <w:r>
                          <w:t>Non-rigid</w:t>
                        </w:r>
                      </w:p>
                    </w:tc>
                    <w:tc>
                      <w:tcPr>
                        <w:tcW w:w="1203" w:type="dxa"/>
                        <w:vMerge w:val="restart"/>
                        <w:tcBorders>
                          <w:tl2br w:val="nil"/>
                        </w:tcBorders>
                        <w:vAlign w:val="center"/>
                      </w:tcPr>
                      <w:p w:rsidR="00D902F9" w:rsidRPr="009C4739" w:rsidRDefault="00D902F9" w:rsidP="00342F60">
                        <w:pPr>
                          <w:jc w:val="center"/>
                        </w:pPr>
                        <w:r w:rsidRPr="009C4739">
                          <w:rPr>
                            <w:i/>
                            <w:iCs/>
                          </w:rPr>
                          <w:t>P</w:t>
                        </w:r>
                        <w:r w:rsidRPr="009C4739">
                          <w:t>-value</w:t>
                        </w:r>
                      </w:p>
                    </w:tc>
                  </w:tr>
                  <w:tr w:rsidR="00D902F9" w:rsidRPr="009C4739" w:rsidTr="00342F60">
                    <w:trPr>
                      <w:trHeight w:val="540"/>
                      <w:jc w:val="center"/>
                    </w:trPr>
                    <w:tc>
                      <w:tcPr>
                        <w:tcW w:w="1849" w:type="dxa"/>
                        <w:vMerge/>
                        <w:tcBorders>
                          <w:bottom w:val="single" w:sz="4" w:space="0" w:color="auto"/>
                          <w:tl2br w:val="single" w:sz="4" w:space="0" w:color="auto"/>
                        </w:tcBorders>
                        <w:shd w:val="clear" w:color="auto" w:fill="auto"/>
                        <w:vAlign w:val="center"/>
                      </w:tcPr>
                      <w:p w:rsidR="00D902F9" w:rsidRPr="009C4739" w:rsidRDefault="00D902F9" w:rsidP="00342F60">
                        <w:pPr>
                          <w:jc w:val="center"/>
                        </w:pPr>
                      </w:p>
                    </w:tc>
                    <w:tc>
                      <w:tcPr>
                        <w:tcW w:w="1031" w:type="dxa"/>
                        <w:tcBorders>
                          <w:bottom w:val="single" w:sz="4" w:space="0" w:color="auto"/>
                        </w:tcBorders>
                        <w:vAlign w:val="center"/>
                      </w:tcPr>
                      <w:p w:rsidR="00D902F9" w:rsidRPr="009C4739" w:rsidRDefault="00D902F9" w:rsidP="00342F60">
                        <w:pPr>
                          <w:jc w:val="center"/>
                        </w:pPr>
                        <w:r w:rsidRPr="009C4739">
                          <w:t xml:space="preserve">Mean </w:t>
                        </w:r>
                      </w:p>
                    </w:tc>
                    <w:tc>
                      <w:tcPr>
                        <w:tcW w:w="958" w:type="dxa"/>
                        <w:tcBorders>
                          <w:bottom w:val="single" w:sz="4" w:space="0" w:color="auto"/>
                        </w:tcBorders>
                        <w:vAlign w:val="center"/>
                      </w:tcPr>
                      <w:p w:rsidR="00D902F9" w:rsidRPr="009C4739" w:rsidRDefault="00D902F9" w:rsidP="00342F60">
                        <w:pPr>
                          <w:jc w:val="center"/>
                        </w:pPr>
                        <w:r w:rsidRPr="009C4739">
                          <w:t>SD</w:t>
                        </w:r>
                      </w:p>
                    </w:tc>
                    <w:tc>
                      <w:tcPr>
                        <w:tcW w:w="1012" w:type="dxa"/>
                        <w:tcBorders>
                          <w:bottom w:val="single" w:sz="4" w:space="0" w:color="auto"/>
                        </w:tcBorders>
                        <w:vAlign w:val="center"/>
                      </w:tcPr>
                      <w:p w:rsidR="00D902F9" w:rsidRPr="009C4739" w:rsidRDefault="00D902F9" w:rsidP="00342F60">
                        <w:pPr>
                          <w:jc w:val="center"/>
                        </w:pPr>
                        <w:r w:rsidRPr="009C4739">
                          <w:t xml:space="preserve">Mean </w:t>
                        </w:r>
                      </w:p>
                    </w:tc>
                    <w:tc>
                      <w:tcPr>
                        <w:tcW w:w="930" w:type="dxa"/>
                        <w:tcBorders>
                          <w:bottom w:val="single" w:sz="4" w:space="0" w:color="auto"/>
                        </w:tcBorders>
                        <w:vAlign w:val="center"/>
                      </w:tcPr>
                      <w:p w:rsidR="00D902F9" w:rsidRPr="009C4739" w:rsidRDefault="00D902F9" w:rsidP="00342F60">
                        <w:pPr>
                          <w:jc w:val="center"/>
                        </w:pPr>
                        <w:r w:rsidRPr="009C4739">
                          <w:t>SD</w:t>
                        </w:r>
                      </w:p>
                    </w:tc>
                    <w:tc>
                      <w:tcPr>
                        <w:tcW w:w="1203" w:type="dxa"/>
                        <w:vMerge/>
                        <w:tcBorders>
                          <w:bottom w:val="single" w:sz="4" w:space="0" w:color="auto"/>
                        </w:tcBorders>
                        <w:vAlign w:val="center"/>
                      </w:tcPr>
                      <w:p w:rsidR="00D902F9" w:rsidRPr="009C4739" w:rsidRDefault="00D902F9" w:rsidP="00342F60">
                        <w:pPr>
                          <w:jc w:val="center"/>
                        </w:pPr>
                      </w:p>
                    </w:tc>
                  </w:tr>
                  <w:tr w:rsidR="00D902F9" w:rsidRPr="009C4739" w:rsidTr="00342F60">
                    <w:trPr>
                      <w:trHeight w:val="530"/>
                      <w:jc w:val="center"/>
                    </w:trPr>
                    <w:tc>
                      <w:tcPr>
                        <w:tcW w:w="1849" w:type="dxa"/>
                        <w:shd w:val="clear" w:color="auto" w:fill="auto"/>
                        <w:vAlign w:val="center"/>
                      </w:tcPr>
                      <w:p w:rsidR="00D902F9" w:rsidRPr="009C4739" w:rsidRDefault="00D902F9" w:rsidP="00342F60">
                        <w:pPr>
                          <w:bidi w:val="0"/>
                          <w:jc w:val="center"/>
                        </w:pPr>
                        <w:r>
                          <w:t>Immediate</w:t>
                        </w:r>
                      </w:p>
                    </w:tc>
                    <w:tc>
                      <w:tcPr>
                        <w:tcW w:w="1031" w:type="dxa"/>
                        <w:vAlign w:val="center"/>
                      </w:tcPr>
                      <w:p w:rsidR="00D902F9" w:rsidRPr="009C4739" w:rsidRDefault="00D902F9" w:rsidP="00342F60">
                        <w:pPr>
                          <w:bidi w:val="0"/>
                          <w:jc w:val="center"/>
                        </w:pPr>
                        <w:r>
                          <w:t>572.6</w:t>
                        </w:r>
                      </w:p>
                    </w:tc>
                    <w:tc>
                      <w:tcPr>
                        <w:tcW w:w="958" w:type="dxa"/>
                        <w:vAlign w:val="center"/>
                      </w:tcPr>
                      <w:p w:rsidR="00D902F9" w:rsidRPr="009C4739" w:rsidRDefault="00D902F9" w:rsidP="00342F60">
                        <w:pPr>
                          <w:bidi w:val="0"/>
                          <w:jc w:val="center"/>
                        </w:pPr>
                        <w:r>
                          <w:t>131.3</w:t>
                        </w:r>
                      </w:p>
                    </w:tc>
                    <w:tc>
                      <w:tcPr>
                        <w:tcW w:w="1012" w:type="dxa"/>
                        <w:vAlign w:val="center"/>
                      </w:tcPr>
                      <w:p w:rsidR="00D902F9" w:rsidRPr="009C4739" w:rsidRDefault="00D902F9" w:rsidP="00342F60">
                        <w:pPr>
                          <w:bidi w:val="0"/>
                          <w:jc w:val="center"/>
                        </w:pPr>
                        <w:r>
                          <w:t>813.7</w:t>
                        </w:r>
                      </w:p>
                    </w:tc>
                    <w:tc>
                      <w:tcPr>
                        <w:tcW w:w="930" w:type="dxa"/>
                        <w:vAlign w:val="center"/>
                      </w:tcPr>
                      <w:p w:rsidR="00D902F9" w:rsidRPr="009C4739" w:rsidRDefault="00D902F9" w:rsidP="00342F60">
                        <w:pPr>
                          <w:bidi w:val="0"/>
                          <w:jc w:val="center"/>
                        </w:pPr>
                        <w:r>
                          <w:t>149.5</w:t>
                        </w:r>
                      </w:p>
                    </w:tc>
                    <w:tc>
                      <w:tcPr>
                        <w:tcW w:w="1203" w:type="dxa"/>
                        <w:vAlign w:val="center"/>
                      </w:tcPr>
                      <w:p w:rsidR="00D902F9" w:rsidRPr="009C4739" w:rsidRDefault="00D902F9" w:rsidP="00342F60">
                        <w:pPr>
                          <w:bidi w:val="0"/>
                          <w:jc w:val="center"/>
                        </w:pPr>
                        <w:r>
                          <w:t>0.050*</w:t>
                        </w:r>
                      </w:p>
                    </w:tc>
                  </w:tr>
                  <w:tr w:rsidR="00D902F9" w:rsidRPr="009C4739" w:rsidTr="00342F60">
                    <w:trPr>
                      <w:trHeight w:val="530"/>
                      <w:jc w:val="center"/>
                    </w:trPr>
                    <w:tc>
                      <w:tcPr>
                        <w:tcW w:w="1849" w:type="dxa"/>
                        <w:shd w:val="clear" w:color="auto" w:fill="auto"/>
                        <w:vAlign w:val="center"/>
                      </w:tcPr>
                      <w:p w:rsidR="00D902F9" w:rsidRPr="009C4739" w:rsidRDefault="00D902F9" w:rsidP="00342F60">
                        <w:pPr>
                          <w:bidi w:val="0"/>
                          <w:jc w:val="center"/>
                        </w:pPr>
                        <w:r w:rsidRPr="009C4739">
                          <w:t>6 months</w:t>
                        </w:r>
                      </w:p>
                    </w:tc>
                    <w:tc>
                      <w:tcPr>
                        <w:tcW w:w="1031" w:type="dxa"/>
                        <w:vAlign w:val="center"/>
                      </w:tcPr>
                      <w:p w:rsidR="00D902F9" w:rsidRPr="009C4739" w:rsidRDefault="00D902F9" w:rsidP="00342F60">
                        <w:pPr>
                          <w:bidi w:val="0"/>
                          <w:jc w:val="center"/>
                        </w:pPr>
                        <w:r>
                          <w:t>584.1</w:t>
                        </w:r>
                      </w:p>
                    </w:tc>
                    <w:tc>
                      <w:tcPr>
                        <w:tcW w:w="958" w:type="dxa"/>
                        <w:vAlign w:val="center"/>
                      </w:tcPr>
                      <w:p w:rsidR="00D902F9" w:rsidRPr="009C4739" w:rsidRDefault="00D902F9" w:rsidP="00342F60">
                        <w:pPr>
                          <w:bidi w:val="0"/>
                          <w:jc w:val="center"/>
                        </w:pPr>
                        <w:r>
                          <w:t>236.5</w:t>
                        </w:r>
                      </w:p>
                    </w:tc>
                    <w:tc>
                      <w:tcPr>
                        <w:tcW w:w="1012" w:type="dxa"/>
                        <w:vAlign w:val="center"/>
                      </w:tcPr>
                      <w:p w:rsidR="00D902F9" w:rsidRPr="009C4739" w:rsidRDefault="00D902F9" w:rsidP="00342F60">
                        <w:pPr>
                          <w:bidi w:val="0"/>
                          <w:jc w:val="center"/>
                        </w:pPr>
                        <w:r>
                          <w:t>464</w:t>
                        </w:r>
                      </w:p>
                    </w:tc>
                    <w:tc>
                      <w:tcPr>
                        <w:tcW w:w="930" w:type="dxa"/>
                        <w:vAlign w:val="center"/>
                      </w:tcPr>
                      <w:p w:rsidR="00D902F9" w:rsidRPr="009C4739" w:rsidRDefault="00D902F9" w:rsidP="00342F60">
                        <w:pPr>
                          <w:bidi w:val="0"/>
                          <w:jc w:val="center"/>
                        </w:pPr>
                        <w:r>
                          <w:t>54.1</w:t>
                        </w:r>
                      </w:p>
                    </w:tc>
                    <w:tc>
                      <w:tcPr>
                        <w:tcW w:w="1203" w:type="dxa"/>
                        <w:vAlign w:val="center"/>
                      </w:tcPr>
                      <w:p w:rsidR="00D902F9" w:rsidRPr="009C4739" w:rsidRDefault="00D902F9" w:rsidP="00342F60">
                        <w:pPr>
                          <w:bidi w:val="0"/>
                          <w:jc w:val="center"/>
                        </w:pPr>
                        <w:r>
                          <w:t>0.513</w:t>
                        </w:r>
                      </w:p>
                    </w:tc>
                  </w:tr>
                  <w:tr w:rsidR="00D902F9" w:rsidRPr="009C4739" w:rsidTr="00342F60">
                    <w:trPr>
                      <w:trHeight w:val="530"/>
                      <w:jc w:val="center"/>
                    </w:trPr>
                    <w:tc>
                      <w:tcPr>
                        <w:tcW w:w="1849" w:type="dxa"/>
                        <w:shd w:val="clear" w:color="auto" w:fill="auto"/>
                        <w:vAlign w:val="center"/>
                      </w:tcPr>
                      <w:p w:rsidR="00D902F9" w:rsidRDefault="00D902F9" w:rsidP="00342F60">
                        <w:pPr>
                          <w:bidi w:val="0"/>
                          <w:jc w:val="center"/>
                        </w:pPr>
                        <w:r>
                          <w:t>% change</w:t>
                        </w:r>
                      </w:p>
                    </w:tc>
                    <w:tc>
                      <w:tcPr>
                        <w:tcW w:w="1031" w:type="dxa"/>
                        <w:vAlign w:val="center"/>
                      </w:tcPr>
                      <w:p w:rsidR="00D902F9" w:rsidRPr="009C4739" w:rsidRDefault="00D902F9" w:rsidP="00342F60">
                        <w:pPr>
                          <w:bidi w:val="0"/>
                          <w:jc w:val="center"/>
                        </w:pPr>
                        <w:r>
                          <w:t>4.4</w:t>
                        </w:r>
                      </w:p>
                    </w:tc>
                    <w:tc>
                      <w:tcPr>
                        <w:tcW w:w="958" w:type="dxa"/>
                        <w:vAlign w:val="center"/>
                      </w:tcPr>
                      <w:p w:rsidR="00D902F9" w:rsidRPr="009C4739" w:rsidRDefault="00D902F9" w:rsidP="00342F60">
                        <w:pPr>
                          <w:bidi w:val="0"/>
                          <w:jc w:val="center"/>
                        </w:pPr>
                        <w:r>
                          <w:t>9.6</w:t>
                        </w:r>
                      </w:p>
                    </w:tc>
                    <w:tc>
                      <w:tcPr>
                        <w:tcW w:w="1012" w:type="dxa"/>
                        <w:vAlign w:val="center"/>
                      </w:tcPr>
                      <w:p w:rsidR="00D902F9" w:rsidRPr="009C4739" w:rsidRDefault="00D902F9" w:rsidP="00342F60">
                        <w:pPr>
                          <w:bidi w:val="0"/>
                          <w:jc w:val="center"/>
                        </w:pPr>
                        <w:r>
                          <w:t>-41.9</w:t>
                        </w:r>
                      </w:p>
                    </w:tc>
                    <w:tc>
                      <w:tcPr>
                        <w:tcW w:w="930" w:type="dxa"/>
                        <w:vAlign w:val="center"/>
                      </w:tcPr>
                      <w:p w:rsidR="00D902F9" w:rsidRPr="009C4739" w:rsidRDefault="00D902F9" w:rsidP="00342F60">
                        <w:pPr>
                          <w:bidi w:val="0"/>
                          <w:jc w:val="center"/>
                        </w:pPr>
                        <w:r>
                          <w:t>11.3</w:t>
                        </w:r>
                      </w:p>
                    </w:tc>
                    <w:tc>
                      <w:tcPr>
                        <w:tcW w:w="1203" w:type="dxa"/>
                        <w:vAlign w:val="center"/>
                      </w:tcPr>
                      <w:p w:rsidR="00D902F9" w:rsidRPr="009C4739" w:rsidRDefault="00D902F9" w:rsidP="00342F60">
                        <w:pPr>
                          <w:bidi w:val="0"/>
                          <w:jc w:val="center"/>
                        </w:pPr>
                        <w:r>
                          <w:t>0.033*</w:t>
                        </w:r>
                      </w:p>
                    </w:tc>
                  </w:tr>
                </w:tbl>
                <w:p w:rsidR="00D902F9" w:rsidRDefault="00D902F9" w:rsidP="00D902F9">
                  <w:pPr>
                    <w:bidi w:val="0"/>
                    <w:ind w:left="720" w:firstLine="720"/>
                    <w:rPr>
                      <w:i/>
                      <w:iCs/>
                    </w:rPr>
                  </w:pPr>
                  <w:r>
                    <w:tab/>
                  </w:r>
                  <w:r>
                    <w:rPr>
                      <w:i/>
                      <w:iCs/>
                    </w:rPr>
                    <w:t>*: Significant at P ≤ 0.05</w:t>
                  </w:r>
                </w:p>
                <w:p w:rsidR="00D902F9" w:rsidRDefault="00D902F9" w:rsidP="00D902F9"/>
              </w:txbxContent>
            </v:textbox>
          </v:shape>
        </w:pict>
      </w:r>
    </w:p>
    <w:p w:rsidR="00612780" w:rsidRPr="002D0908" w:rsidRDefault="00612780" w:rsidP="00D87ACB">
      <w:pPr>
        <w:bidi w:val="0"/>
        <w:spacing w:after="0" w:line="480" w:lineRule="auto"/>
        <w:ind w:left="900" w:firstLine="720"/>
        <w:jc w:val="both"/>
        <w:rPr>
          <w:rFonts w:asciiTheme="majorBidi" w:hAnsiTheme="majorBidi" w:cstheme="majorBidi"/>
          <w:i/>
          <w:iCs/>
          <w:color w:val="000000"/>
          <w:sz w:val="28"/>
          <w:szCs w:val="28"/>
        </w:rPr>
      </w:pPr>
    </w:p>
    <w:p w:rsidR="00D47625" w:rsidRPr="002D0908" w:rsidRDefault="00D47625" w:rsidP="00D87ACB">
      <w:pPr>
        <w:bidi w:val="0"/>
        <w:spacing w:after="0" w:line="480" w:lineRule="auto"/>
        <w:ind w:left="900" w:firstLine="720"/>
        <w:jc w:val="both"/>
        <w:rPr>
          <w:rFonts w:asciiTheme="majorBidi" w:hAnsiTheme="majorBidi" w:cstheme="majorBidi"/>
          <w:i/>
          <w:iCs/>
          <w:color w:val="000000"/>
          <w:sz w:val="28"/>
          <w:szCs w:val="28"/>
          <w:rtl/>
          <w:lang w:bidi="ar-EG"/>
        </w:rPr>
      </w:pPr>
      <w:r w:rsidRPr="002D0908">
        <w:rPr>
          <w:rFonts w:asciiTheme="majorBidi" w:hAnsiTheme="majorBidi" w:cstheme="majorBidi"/>
          <w:i/>
          <w:iCs/>
          <w:color w:val="000000"/>
          <w:sz w:val="28"/>
          <w:szCs w:val="28"/>
        </w:rPr>
        <w:t> </w:t>
      </w:r>
    </w:p>
    <w:p w:rsidR="00D47625" w:rsidRPr="002D0908" w:rsidRDefault="001919A5" w:rsidP="00D87ACB">
      <w:pPr>
        <w:bidi w:val="0"/>
        <w:spacing w:after="0" w:line="480" w:lineRule="auto"/>
        <w:ind w:left="900" w:firstLine="720"/>
        <w:jc w:val="both"/>
        <w:rPr>
          <w:rFonts w:asciiTheme="majorBidi" w:hAnsiTheme="majorBidi" w:cstheme="majorBidi"/>
          <w:color w:val="000000"/>
          <w:sz w:val="28"/>
          <w:szCs w:val="28"/>
        </w:rPr>
      </w:pPr>
      <w:r w:rsidRPr="001919A5">
        <w:rPr>
          <w:rFonts w:asciiTheme="majorBidi" w:hAnsiTheme="majorBidi" w:cstheme="majorBidi"/>
          <w:i/>
          <w:iCs/>
          <w:noProof/>
          <w:color w:val="000000"/>
          <w:sz w:val="28"/>
          <w:szCs w:val="28"/>
          <w:lang w:eastAsia="zh-TW"/>
        </w:rPr>
        <w:pict>
          <v:shape id="_x0000_s1033" type="#_x0000_t202" style="position:absolute;left:0;text-align:left;margin-left:-12.9pt;margin-top:22.85pt;width:441.1pt;height:532.6pt;z-index:251667456;mso-width-relative:margin;mso-height-relative:margin">
            <v:textbox style="mso-next-textbox:#_x0000_s1033">
              <w:txbxContent>
                <w:p w:rsidR="00612780" w:rsidRDefault="00612780" w:rsidP="00D902F9">
                  <w:pPr>
                    <w:bidi w:val="0"/>
                    <w:spacing w:after="0"/>
                    <w:jc w:val="center"/>
                    <w:rPr>
                      <w:rFonts w:ascii="Times New Roman" w:hAnsi="Times New Roman" w:cs="Times New Roman"/>
                      <w:i/>
                      <w:iCs/>
                      <w:color w:val="000000"/>
                      <w:sz w:val="24"/>
                      <w:szCs w:val="24"/>
                    </w:rPr>
                  </w:pPr>
                  <w:r w:rsidRPr="00D902F9">
                    <w:rPr>
                      <w:rFonts w:ascii="Times New Roman" w:hAnsi="Times New Roman" w:cs="Times New Roman"/>
                      <w:i/>
                      <w:iCs/>
                      <w:color w:val="000000"/>
                      <w:sz w:val="24"/>
                      <w:szCs w:val="24"/>
                    </w:rPr>
                    <w:t>Table (4): The mean, standard deviation (SD) values and results of Mann-Whitney U test for the comparison between density profile and its changes around the natural teeth abutments in the two groups</w:t>
                  </w:r>
                </w:p>
                <w:p w:rsidR="0060555A" w:rsidRPr="00D902F9" w:rsidRDefault="0060555A" w:rsidP="0060555A">
                  <w:pPr>
                    <w:bidi w:val="0"/>
                    <w:spacing w:after="0"/>
                    <w:jc w:val="center"/>
                    <w:rPr>
                      <w:rFonts w:ascii="Times New Roman" w:hAnsi="Times New Roman" w:cs="Times New Roman"/>
                      <w:i/>
                      <w:iCs/>
                      <w:color w:val="000000"/>
                      <w:sz w:val="24"/>
                      <w:szCs w:val="24"/>
                    </w:rPr>
                  </w:pPr>
                </w:p>
                <w:tbl>
                  <w:tblPr>
                    <w:bidiVisual/>
                    <w:tblW w:w="6779" w:type="dxa"/>
                    <w:jc w:val="center"/>
                    <w:tblBorders>
                      <w:top w:val="single" w:sz="4" w:space="0" w:color="auto"/>
                      <w:left w:val="single" w:sz="4" w:space="0" w:color="auto"/>
                      <w:bottom w:val="single" w:sz="4" w:space="0" w:color="auto"/>
                      <w:right w:val="single" w:sz="4" w:space="0" w:color="auto"/>
                    </w:tblBorders>
                    <w:tblCellMar>
                      <w:left w:w="115" w:type="dxa"/>
                      <w:right w:w="115" w:type="dxa"/>
                    </w:tblCellMar>
                    <w:tblLook w:val="01E0"/>
                  </w:tblPr>
                  <w:tblGrid>
                    <w:gridCol w:w="1795"/>
                    <w:gridCol w:w="1001"/>
                    <w:gridCol w:w="930"/>
                    <w:gridCol w:w="982"/>
                    <w:gridCol w:w="903"/>
                    <w:gridCol w:w="1168"/>
                  </w:tblGrid>
                  <w:tr w:rsidR="00612780" w:rsidRPr="00D902F9" w:rsidTr="00D902F9">
                    <w:trPr>
                      <w:trHeight w:val="645"/>
                      <w:jc w:val="center"/>
                    </w:trPr>
                    <w:tc>
                      <w:tcPr>
                        <w:tcW w:w="1795" w:type="dxa"/>
                        <w:vMerge w:val="restart"/>
                        <w:tcBorders>
                          <w:top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 xml:space="preserve">           Group</w:t>
                        </w:r>
                      </w:p>
                      <w:p w:rsidR="00612780" w:rsidRPr="00D902F9" w:rsidRDefault="00612780" w:rsidP="00342F60">
                        <w:pPr>
                          <w:bidi w:val="0"/>
                          <w:spacing w:after="0" w:line="480" w:lineRule="auto"/>
                          <w:jc w:val="both"/>
                          <w:rPr>
                            <w:rFonts w:ascii="Times New Roman" w:hAnsi="Times New Roman" w:cs="Times New Roman"/>
                            <w:color w:val="000000"/>
                            <w:sz w:val="20"/>
                            <w:szCs w:val="20"/>
                          </w:rPr>
                        </w:pPr>
                      </w:p>
                      <w:p w:rsidR="00612780" w:rsidRPr="00D902F9" w:rsidRDefault="00612780" w:rsidP="00342F60">
                        <w:pPr>
                          <w:bidi w:val="0"/>
                          <w:spacing w:after="0" w:line="480" w:lineRule="auto"/>
                          <w:jc w:val="both"/>
                          <w:rPr>
                            <w:rFonts w:ascii="Times New Roman" w:hAnsi="Times New Roman" w:cs="Times New Roman"/>
                            <w:color w:val="000000"/>
                            <w:sz w:val="20"/>
                            <w:szCs w:val="20"/>
                          </w:rPr>
                        </w:pPr>
                      </w:p>
                      <w:p w:rsidR="00612780" w:rsidRPr="00D902F9" w:rsidRDefault="00612780" w:rsidP="00342F60">
                        <w:pPr>
                          <w:bidi w:val="0"/>
                          <w:spacing w:after="0" w:line="480" w:lineRule="auto"/>
                          <w:jc w:val="both"/>
                          <w:rPr>
                            <w:rFonts w:ascii="Times New Roman" w:hAnsi="Times New Roman" w:cs="Times New Roman"/>
                            <w:color w:val="000000"/>
                            <w:sz w:val="20"/>
                            <w:szCs w:val="20"/>
                          </w:rPr>
                        </w:pPr>
                      </w:p>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Period</w:t>
                        </w:r>
                      </w:p>
                    </w:tc>
                    <w:tc>
                      <w:tcPr>
                        <w:tcW w:w="1931" w:type="dxa"/>
                        <w:gridSpan w:val="2"/>
                        <w:tcBorders>
                          <w:top w:val="single" w:sz="4" w:space="0" w:color="auto"/>
                          <w:left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Rigid</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Non-rigid</w:t>
                        </w:r>
                      </w:p>
                    </w:tc>
                    <w:tc>
                      <w:tcPr>
                        <w:tcW w:w="1168" w:type="dxa"/>
                        <w:vMerge w:val="restart"/>
                        <w:tcBorders>
                          <w:top w:val="single" w:sz="4" w:space="0" w:color="auto"/>
                          <w:left w:val="single" w:sz="4" w:space="0" w:color="auto"/>
                          <w:bottom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P-value</w:t>
                        </w:r>
                      </w:p>
                    </w:tc>
                  </w:tr>
                  <w:tr w:rsidR="00612780" w:rsidRPr="00D902F9" w:rsidTr="00D902F9">
                    <w:trPr>
                      <w:trHeight w:val="439"/>
                      <w:jc w:val="center"/>
                    </w:trPr>
                    <w:tc>
                      <w:tcPr>
                        <w:tcW w:w="0" w:type="auto"/>
                        <w:vMerge/>
                        <w:tcBorders>
                          <w:top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p>
                    </w:tc>
                    <w:tc>
                      <w:tcPr>
                        <w:tcW w:w="1001" w:type="dxa"/>
                        <w:tcBorders>
                          <w:top w:val="single" w:sz="4" w:space="0" w:color="auto"/>
                          <w:left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 xml:space="preserve">Mean </w:t>
                        </w:r>
                      </w:p>
                    </w:tc>
                    <w:tc>
                      <w:tcPr>
                        <w:tcW w:w="930" w:type="dxa"/>
                        <w:tcBorders>
                          <w:top w:val="single" w:sz="4" w:space="0" w:color="auto"/>
                          <w:left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SD</w:t>
                        </w:r>
                      </w:p>
                    </w:tc>
                    <w:tc>
                      <w:tcPr>
                        <w:tcW w:w="982" w:type="dxa"/>
                        <w:tcBorders>
                          <w:top w:val="single" w:sz="4" w:space="0" w:color="auto"/>
                          <w:left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 xml:space="preserve">Mean </w:t>
                        </w:r>
                      </w:p>
                    </w:tc>
                    <w:tc>
                      <w:tcPr>
                        <w:tcW w:w="903" w:type="dxa"/>
                        <w:tcBorders>
                          <w:top w:val="single" w:sz="4" w:space="0" w:color="auto"/>
                          <w:left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SD</w:t>
                        </w:r>
                      </w:p>
                    </w:tc>
                    <w:tc>
                      <w:tcPr>
                        <w:tcW w:w="0" w:type="auto"/>
                        <w:vMerge/>
                        <w:tcBorders>
                          <w:top w:val="single" w:sz="4" w:space="0" w:color="auto"/>
                          <w:left w:val="single" w:sz="4" w:space="0" w:color="auto"/>
                          <w:bottom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p>
                    </w:tc>
                  </w:tr>
                  <w:tr w:rsidR="00612780" w:rsidRPr="00D902F9" w:rsidTr="00D902F9">
                    <w:trPr>
                      <w:trHeight w:val="430"/>
                      <w:jc w:val="center"/>
                    </w:trPr>
                    <w:tc>
                      <w:tcPr>
                        <w:tcW w:w="1795" w:type="dxa"/>
                        <w:tcBorders>
                          <w:top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Immediate</w:t>
                        </w:r>
                      </w:p>
                    </w:tc>
                    <w:tc>
                      <w:tcPr>
                        <w:tcW w:w="1001" w:type="dxa"/>
                        <w:tcBorders>
                          <w:top w:val="single" w:sz="4" w:space="0" w:color="auto"/>
                          <w:left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1110</w:t>
                        </w:r>
                      </w:p>
                    </w:tc>
                    <w:tc>
                      <w:tcPr>
                        <w:tcW w:w="930" w:type="dxa"/>
                        <w:tcBorders>
                          <w:top w:val="single" w:sz="4" w:space="0" w:color="auto"/>
                          <w:left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184.5</w:t>
                        </w:r>
                      </w:p>
                    </w:tc>
                    <w:tc>
                      <w:tcPr>
                        <w:tcW w:w="982" w:type="dxa"/>
                        <w:tcBorders>
                          <w:top w:val="single" w:sz="4" w:space="0" w:color="auto"/>
                          <w:left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757</w:t>
                        </w:r>
                      </w:p>
                    </w:tc>
                    <w:tc>
                      <w:tcPr>
                        <w:tcW w:w="903" w:type="dxa"/>
                        <w:tcBorders>
                          <w:top w:val="single" w:sz="4" w:space="0" w:color="auto"/>
                          <w:left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112.6</w:t>
                        </w:r>
                      </w:p>
                    </w:tc>
                    <w:tc>
                      <w:tcPr>
                        <w:tcW w:w="1168" w:type="dxa"/>
                        <w:tcBorders>
                          <w:top w:val="single" w:sz="4" w:space="0" w:color="auto"/>
                          <w:left w:val="single" w:sz="4" w:space="0" w:color="auto"/>
                          <w:bottom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0.095</w:t>
                        </w:r>
                      </w:p>
                    </w:tc>
                  </w:tr>
                  <w:tr w:rsidR="00612780" w:rsidRPr="00D902F9" w:rsidTr="00D902F9">
                    <w:trPr>
                      <w:trHeight w:val="430"/>
                      <w:jc w:val="center"/>
                    </w:trPr>
                    <w:tc>
                      <w:tcPr>
                        <w:tcW w:w="1795" w:type="dxa"/>
                        <w:tcBorders>
                          <w:top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6 months</w:t>
                        </w:r>
                      </w:p>
                    </w:tc>
                    <w:tc>
                      <w:tcPr>
                        <w:tcW w:w="1001" w:type="dxa"/>
                        <w:tcBorders>
                          <w:top w:val="single" w:sz="4" w:space="0" w:color="auto"/>
                          <w:left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975</w:t>
                        </w:r>
                      </w:p>
                    </w:tc>
                    <w:tc>
                      <w:tcPr>
                        <w:tcW w:w="930" w:type="dxa"/>
                        <w:tcBorders>
                          <w:top w:val="single" w:sz="4" w:space="0" w:color="auto"/>
                          <w:left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145.4</w:t>
                        </w:r>
                      </w:p>
                    </w:tc>
                    <w:tc>
                      <w:tcPr>
                        <w:tcW w:w="982" w:type="dxa"/>
                        <w:tcBorders>
                          <w:top w:val="single" w:sz="4" w:space="0" w:color="auto"/>
                          <w:left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764.3</w:t>
                        </w:r>
                      </w:p>
                    </w:tc>
                    <w:tc>
                      <w:tcPr>
                        <w:tcW w:w="903" w:type="dxa"/>
                        <w:tcBorders>
                          <w:top w:val="single" w:sz="4" w:space="0" w:color="auto"/>
                          <w:left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84.7</w:t>
                        </w:r>
                      </w:p>
                    </w:tc>
                    <w:tc>
                      <w:tcPr>
                        <w:tcW w:w="1168" w:type="dxa"/>
                        <w:tcBorders>
                          <w:top w:val="single" w:sz="4" w:space="0" w:color="auto"/>
                          <w:left w:val="single" w:sz="4" w:space="0" w:color="auto"/>
                          <w:bottom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0.001*</w:t>
                        </w:r>
                      </w:p>
                    </w:tc>
                  </w:tr>
                  <w:tr w:rsidR="00612780" w:rsidRPr="00D902F9" w:rsidTr="00D902F9">
                    <w:trPr>
                      <w:trHeight w:val="430"/>
                      <w:jc w:val="center"/>
                    </w:trPr>
                    <w:tc>
                      <w:tcPr>
                        <w:tcW w:w="1795" w:type="dxa"/>
                        <w:tcBorders>
                          <w:top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 change</w:t>
                        </w:r>
                      </w:p>
                    </w:tc>
                    <w:tc>
                      <w:tcPr>
                        <w:tcW w:w="1001" w:type="dxa"/>
                        <w:tcBorders>
                          <w:top w:val="single" w:sz="4" w:space="0" w:color="auto"/>
                          <w:left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-12.2</w:t>
                        </w:r>
                      </w:p>
                    </w:tc>
                    <w:tc>
                      <w:tcPr>
                        <w:tcW w:w="930" w:type="dxa"/>
                        <w:tcBorders>
                          <w:top w:val="single" w:sz="4" w:space="0" w:color="auto"/>
                          <w:left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3.5</w:t>
                        </w:r>
                      </w:p>
                    </w:tc>
                    <w:tc>
                      <w:tcPr>
                        <w:tcW w:w="982" w:type="dxa"/>
                        <w:tcBorders>
                          <w:top w:val="single" w:sz="4" w:space="0" w:color="auto"/>
                          <w:left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7.3</w:t>
                        </w:r>
                      </w:p>
                    </w:tc>
                    <w:tc>
                      <w:tcPr>
                        <w:tcW w:w="903" w:type="dxa"/>
                        <w:tcBorders>
                          <w:top w:val="single" w:sz="4" w:space="0" w:color="auto"/>
                          <w:left w:val="single" w:sz="4" w:space="0" w:color="auto"/>
                          <w:bottom w:val="single" w:sz="4" w:space="0" w:color="auto"/>
                          <w:right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2.5</w:t>
                        </w:r>
                      </w:p>
                    </w:tc>
                    <w:tc>
                      <w:tcPr>
                        <w:tcW w:w="1168" w:type="dxa"/>
                        <w:tcBorders>
                          <w:top w:val="single" w:sz="4" w:space="0" w:color="auto"/>
                          <w:left w:val="single" w:sz="4" w:space="0" w:color="auto"/>
                          <w:bottom w:val="single" w:sz="4" w:space="0" w:color="auto"/>
                        </w:tcBorders>
                        <w:vAlign w:val="center"/>
                      </w:tcPr>
                      <w:p w:rsidR="00612780" w:rsidRPr="00D902F9" w:rsidRDefault="00612780" w:rsidP="00342F60">
                        <w:pPr>
                          <w:bidi w:val="0"/>
                          <w:spacing w:after="0" w:line="480" w:lineRule="auto"/>
                          <w:jc w:val="both"/>
                          <w:rPr>
                            <w:rFonts w:ascii="Times New Roman" w:hAnsi="Times New Roman" w:cs="Times New Roman"/>
                            <w:color w:val="000000"/>
                            <w:sz w:val="20"/>
                            <w:szCs w:val="20"/>
                          </w:rPr>
                        </w:pPr>
                        <w:r w:rsidRPr="00D902F9">
                          <w:rPr>
                            <w:rFonts w:ascii="Times New Roman" w:hAnsi="Times New Roman" w:cs="Times New Roman"/>
                            <w:color w:val="000000"/>
                            <w:sz w:val="20"/>
                            <w:szCs w:val="20"/>
                          </w:rPr>
                          <w:t>0.006*</w:t>
                        </w:r>
                      </w:p>
                    </w:tc>
                  </w:tr>
                </w:tbl>
                <w:p w:rsidR="00612780" w:rsidRPr="00EB2F43" w:rsidRDefault="00612780" w:rsidP="00612780">
                  <w:pPr>
                    <w:bidi w:val="0"/>
                    <w:spacing w:after="0" w:line="480" w:lineRule="auto"/>
                    <w:ind w:left="900" w:firstLine="720"/>
                    <w:jc w:val="both"/>
                    <w:rPr>
                      <w:rFonts w:ascii="Times New Roman" w:hAnsi="Times New Roman" w:cs="Times New Roman"/>
                      <w:color w:val="000000"/>
                      <w:sz w:val="28"/>
                      <w:szCs w:val="28"/>
                    </w:rPr>
                  </w:pPr>
                  <w:r w:rsidRPr="00EB2F43">
                    <w:rPr>
                      <w:rFonts w:ascii="Times New Roman" w:hAnsi="Times New Roman" w:cs="Times New Roman"/>
                      <w:i/>
                      <w:iCs/>
                      <w:color w:val="000000"/>
                      <w:sz w:val="28"/>
                      <w:szCs w:val="28"/>
                    </w:rPr>
                    <w:t>*: Significant at P ≤ 0.05</w:t>
                  </w:r>
                </w:p>
                <w:p w:rsidR="0060555A" w:rsidRDefault="00D902F9" w:rsidP="0060555A">
                  <w:pPr>
                    <w:bidi w:val="0"/>
                    <w:jc w:val="center"/>
                    <w:rPr>
                      <w:sz w:val="28"/>
                      <w:szCs w:val="28"/>
                    </w:rPr>
                  </w:pPr>
                  <w:r>
                    <w:rPr>
                      <w:noProof/>
                    </w:rPr>
                    <w:drawing>
                      <wp:inline distT="0" distB="0" distL="0" distR="0">
                        <wp:extent cx="4288790" cy="2025015"/>
                        <wp:effectExtent l="0" t="0" r="0" b="0"/>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4288790" cy="2025015"/>
                                </a:xfrm>
                                <a:prstGeom prst="rect">
                                  <a:avLst/>
                                </a:prstGeom>
                                <a:noFill/>
                                <a:ln w="9525">
                                  <a:noFill/>
                                  <a:miter lim="800000"/>
                                  <a:headEnd/>
                                  <a:tailEnd/>
                                </a:ln>
                              </pic:spPr>
                            </pic:pic>
                          </a:graphicData>
                        </a:graphic>
                      </wp:inline>
                    </w:drawing>
                  </w:r>
                  <w:r w:rsidR="0060555A" w:rsidRPr="0060555A">
                    <w:rPr>
                      <w:sz w:val="28"/>
                      <w:szCs w:val="28"/>
                    </w:rPr>
                    <w:t xml:space="preserve"> </w:t>
                  </w:r>
                </w:p>
                <w:p w:rsidR="0060555A" w:rsidRPr="0060555A" w:rsidRDefault="0060555A" w:rsidP="0060555A">
                  <w:pPr>
                    <w:bidi w:val="0"/>
                    <w:jc w:val="center"/>
                    <w:rPr>
                      <w:i/>
                      <w:iCs/>
                      <w:sz w:val="24"/>
                      <w:szCs w:val="24"/>
                    </w:rPr>
                  </w:pPr>
                  <w:r w:rsidRPr="0060555A">
                    <w:rPr>
                      <w:i/>
                      <w:iCs/>
                      <w:sz w:val="24"/>
                      <w:szCs w:val="24"/>
                    </w:rPr>
                    <w:t>Figure ( ): Mean % change in bone density around abutments in the two groups</w:t>
                  </w:r>
                </w:p>
                <w:p w:rsidR="00612780" w:rsidRPr="0060555A" w:rsidRDefault="00612780" w:rsidP="00D902F9"/>
              </w:txbxContent>
            </v:textbox>
          </v:shape>
        </w:pict>
      </w:r>
      <w:r w:rsidR="00D47625" w:rsidRPr="002D0908">
        <w:rPr>
          <w:rFonts w:asciiTheme="majorBidi" w:hAnsiTheme="majorBidi" w:cstheme="majorBidi"/>
          <w:i/>
          <w:iCs/>
          <w:color w:val="000000"/>
          <w:sz w:val="28"/>
          <w:szCs w:val="28"/>
        </w:rPr>
        <w:tab/>
        <w:t>*: Significant at P ≤ 0.05</w:t>
      </w:r>
      <w:r w:rsidR="00D47625" w:rsidRPr="002D0908">
        <w:rPr>
          <w:rFonts w:asciiTheme="majorBidi" w:hAnsiTheme="majorBidi" w:cstheme="majorBidi"/>
          <w:color w:val="000000"/>
          <w:sz w:val="28"/>
          <w:szCs w:val="28"/>
        </w:rPr>
        <w:t xml:space="preserve">  </w:t>
      </w:r>
    </w:p>
    <w:p w:rsidR="00BF2D83" w:rsidRPr="002D0908" w:rsidRDefault="00BF2D83" w:rsidP="00D87ACB">
      <w:pPr>
        <w:bidi w:val="0"/>
        <w:spacing w:line="480" w:lineRule="auto"/>
        <w:jc w:val="both"/>
        <w:rPr>
          <w:rFonts w:asciiTheme="majorBidi" w:hAnsiTheme="majorBidi" w:cstheme="majorBidi"/>
          <w:sz w:val="28"/>
          <w:szCs w:val="28"/>
          <w:rtl/>
        </w:rPr>
      </w:pPr>
    </w:p>
    <w:p w:rsidR="00BF2D83" w:rsidRPr="002D0908" w:rsidRDefault="00BF2D83" w:rsidP="00D87ACB">
      <w:pPr>
        <w:bidi w:val="0"/>
        <w:spacing w:line="480" w:lineRule="auto"/>
        <w:jc w:val="both"/>
        <w:rPr>
          <w:rFonts w:asciiTheme="majorBidi" w:hAnsiTheme="majorBidi" w:cstheme="majorBidi"/>
          <w:sz w:val="28"/>
          <w:szCs w:val="28"/>
          <w:rtl/>
        </w:rPr>
      </w:pPr>
    </w:p>
    <w:p w:rsidR="00BF2D83" w:rsidRPr="002D0908" w:rsidRDefault="00BF2D83" w:rsidP="00D87ACB">
      <w:pPr>
        <w:bidi w:val="0"/>
        <w:spacing w:line="480" w:lineRule="auto"/>
        <w:jc w:val="both"/>
        <w:rPr>
          <w:rFonts w:asciiTheme="majorBidi" w:hAnsiTheme="majorBidi" w:cstheme="majorBidi"/>
          <w:sz w:val="28"/>
          <w:szCs w:val="28"/>
          <w:rtl/>
        </w:rPr>
      </w:pPr>
    </w:p>
    <w:p w:rsidR="00BF2D83" w:rsidRPr="002D0908" w:rsidRDefault="00BF2D83" w:rsidP="00D87ACB">
      <w:pPr>
        <w:bidi w:val="0"/>
        <w:spacing w:line="480" w:lineRule="auto"/>
        <w:jc w:val="both"/>
        <w:rPr>
          <w:rFonts w:asciiTheme="majorBidi" w:hAnsiTheme="majorBidi" w:cstheme="majorBidi"/>
          <w:sz w:val="28"/>
          <w:szCs w:val="28"/>
          <w:rtl/>
        </w:rPr>
      </w:pPr>
    </w:p>
    <w:p w:rsidR="00BF2D83" w:rsidRPr="002D0908" w:rsidRDefault="00BF2D83" w:rsidP="00D87ACB">
      <w:pPr>
        <w:bidi w:val="0"/>
        <w:spacing w:line="480" w:lineRule="auto"/>
        <w:jc w:val="both"/>
        <w:rPr>
          <w:rFonts w:asciiTheme="majorBidi" w:hAnsiTheme="majorBidi" w:cstheme="majorBidi"/>
          <w:sz w:val="28"/>
          <w:szCs w:val="28"/>
          <w:rtl/>
          <w:lang w:bidi="ar-EG"/>
        </w:rPr>
      </w:pPr>
    </w:p>
    <w:p w:rsidR="00BF2D83" w:rsidRPr="002D0908" w:rsidRDefault="00BF2D83" w:rsidP="00D87ACB">
      <w:pPr>
        <w:bidi w:val="0"/>
        <w:spacing w:line="480" w:lineRule="auto"/>
        <w:jc w:val="both"/>
        <w:rPr>
          <w:rFonts w:asciiTheme="majorBidi" w:hAnsiTheme="majorBidi" w:cstheme="majorBidi"/>
          <w:sz w:val="28"/>
          <w:szCs w:val="28"/>
          <w:rtl/>
        </w:rPr>
      </w:pPr>
    </w:p>
    <w:p w:rsidR="00BF2D83" w:rsidRPr="002D0908" w:rsidRDefault="00BF2D83" w:rsidP="00D87ACB">
      <w:pPr>
        <w:bidi w:val="0"/>
        <w:spacing w:line="480" w:lineRule="auto"/>
        <w:jc w:val="both"/>
        <w:rPr>
          <w:rFonts w:asciiTheme="majorBidi" w:hAnsiTheme="majorBidi" w:cstheme="majorBidi"/>
          <w:sz w:val="28"/>
          <w:szCs w:val="28"/>
        </w:rPr>
      </w:pPr>
    </w:p>
    <w:sectPr w:rsidR="00BF2D83" w:rsidRPr="002D0908" w:rsidSect="003D21A0">
      <w:footerReference w:type="even" r:id="rId18"/>
      <w:footerReference w:type="default" r:id="rId19"/>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F48" w:rsidRDefault="00B83F48">
      <w:r>
        <w:separator/>
      </w:r>
    </w:p>
  </w:endnote>
  <w:endnote w:type="continuationSeparator" w:id="0">
    <w:p w:rsidR="00B83F48" w:rsidRDefault="00B83F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D8E" w:rsidRDefault="001919A5" w:rsidP="003D21A0">
    <w:pPr>
      <w:pStyle w:val="Footer"/>
      <w:framePr w:wrap="around" w:vAnchor="text" w:hAnchor="text" w:xAlign="right" w:y="1"/>
      <w:rPr>
        <w:rStyle w:val="PageNumber"/>
      </w:rPr>
    </w:pPr>
    <w:r>
      <w:rPr>
        <w:rStyle w:val="PageNumber"/>
      </w:rPr>
      <w:fldChar w:fldCharType="begin"/>
    </w:r>
    <w:r w:rsidR="00495D8E">
      <w:rPr>
        <w:rStyle w:val="PageNumber"/>
      </w:rPr>
      <w:instrText xml:space="preserve">PAGE  </w:instrText>
    </w:r>
    <w:r>
      <w:rPr>
        <w:rStyle w:val="PageNumber"/>
      </w:rPr>
      <w:fldChar w:fldCharType="end"/>
    </w:r>
  </w:p>
  <w:p w:rsidR="00495D8E" w:rsidRDefault="00495D8E" w:rsidP="00173584">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D8E" w:rsidRDefault="001919A5" w:rsidP="00295FAE">
    <w:pPr>
      <w:pStyle w:val="Footer"/>
      <w:bidi w:val="0"/>
      <w:rPr>
        <w:lang w:bidi="ar-EG"/>
      </w:rPr>
    </w:pPr>
    <w:r>
      <w:rPr>
        <w:rStyle w:val="PageNumber"/>
      </w:rPr>
      <w:fldChar w:fldCharType="begin"/>
    </w:r>
    <w:r w:rsidR="00495D8E">
      <w:rPr>
        <w:rStyle w:val="PageNumber"/>
      </w:rPr>
      <w:instrText xml:space="preserve"> PAGE </w:instrText>
    </w:r>
    <w:r>
      <w:rPr>
        <w:rStyle w:val="PageNumber"/>
      </w:rPr>
      <w:fldChar w:fldCharType="separate"/>
    </w:r>
    <w:r w:rsidR="00D63A8E">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F48" w:rsidRDefault="00B83F48">
      <w:r>
        <w:separator/>
      </w:r>
    </w:p>
  </w:footnote>
  <w:footnote w:type="continuationSeparator" w:id="0">
    <w:p w:rsidR="00B83F48" w:rsidRDefault="00B83F48">
      <w:r>
        <w:continuationSeparator/>
      </w:r>
    </w:p>
  </w:footnote>
  <w:footnote w:id="1">
    <w:p w:rsidR="00495D8E" w:rsidRDefault="00495D8E" w:rsidP="00E5353C">
      <w:pPr>
        <w:pStyle w:val="FootnoteText"/>
        <w:bidi w:val="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02ACA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DF88D1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BAA243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AA022E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A5C31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5D2D8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BC22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0A44D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26CC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D5091E8"/>
    <w:lvl w:ilvl="0">
      <w:start w:val="1"/>
      <w:numFmt w:val="bullet"/>
      <w:lvlText w:val=""/>
      <w:lvlJc w:val="left"/>
      <w:pPr>
        <w:tabs>
          <w:tab w:val="num" w:pos="360"/>
        </w:tabs>
        <w:ind w:left="360" w:hanging="360"/>
      </w:pPr>
      <w:rPr>
        <w:rFonts w:ascii="Symbol" w:hAnsi="Symbol" w:hint="default"/>
      </w:rPr>
    </w:lvl>
  </w:abstractNum>
  <w:abstractNum w:abstractNumId="10">
    <w:nsid w:val="0B881C0F"/>
    <w:multiLevelType w:val="hybridMultilevel"/>
    <w:tmpl w:val="B4884F60"/>
    <w:lvl w:ilvl="0" w:tplc="12EA1B6E">
      <w:start w:val="1"/>
      <w:numFmt w:val="upperRoman"/>
      <w:lvlText w:val="%1."/>
      <w:lvlJc w:val="left"/>
      <w:pPr>
        <w:tabs>
          <w:tab w:val="num" w:pos="720"/>
        </w:tabs>
        <w:ind w:left="720" w:hanging="360"/>
      </w:pPr>
      <w:rPr>
        <w:rFonts w:cs="Times New Roman" w:hint="default"/>
      </w:rPr>
    </w:lvl>
    <w:lvl w:ilvl="1" w:tplc="9ABA3AD4">
      <w:start w:val="2"/>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68341C3"/>
    <w:multiLevelType w:val="hybridMultilevel"/>
    <w:tmpl w:val="1A48A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1"/>
    <w:footnote w:id="0"/>
  </w:footnotePr>
  <w:endnotePr>
    <w:endnote w:id="-1"/>
    <w:endnote w:id="0"/>
  </w:endnotePr>
  <w:compat/>
  <w:rsids>
    <w:rsidRoot w:val="00061C87"/>
    <w:rsid w:val="00000012"/>
    <w:rsid w:val="00000028"/>
    <w:rsid w:val="0003500B"/>
    <w:rsid w:val="000362F0"/>
    <w:rsid w:val="00036DD4"/>
    <w:rsid w:val="000416DC"/>
    <w:rsid w:val="00043FFB"/>
    <w:rsid w:val="000447C3"/>
    <w:rsid w:val="000459AD"/>
    <w:rsid w:val="00053F72"/>
    <w:rsid w:val="00061C87"/>
    <w:rsid w:val="0007128F"/>
    <w:rsid w:val="00076B9B"/>
    <w:rsid w:val="000865BF"/>
    <w:rsid w:val="00094AF9"/>
    <w:rsid w:val="00094DE6"/>
    <w:rsid w:val="000A50F8"/>
    <w:rsid w:val="000A542F"/>
    <w:rsid w:val="000B61DA"/>
    <w:rsid w:val="000C3ED3"/>
    <w:rsid w:val="000D2EB1"/>
    <w:rsid w:val="000D572C"/>
    <w:rsid w:val="000E2FE2"/>
    <w:rsid w:val="000E462C"/>
    <w:rsid w:val="000F3FBB"/>
    <w:rsid w:val="000F60D9"/>
    <w:rsid w:val="000F7D8C"/>
    <w:rsid w:val="00132E43"/>
    <w:rsid w:val="00137ABA"/>
    <w:rsid w:val="00145CBF"/>
    <w:rsid w:val="00172A3E"/>
    <w:rsid w:val="00172E8F"/>
    <w:rsid w:val="00173584"/>
    <w:rsid w:val="001811F8"/>
    <w:rsid w:val="00183D59"/>
    <w:rsid w:val="001919A5"/>
    <w:rsid w:val="00194479"/>
    <w:rsid w:val="00196F15"/>
    <w:rsid w:val="001B602E"/>
    <w:rsid w:val="001C61CB"/>
    <w:rsid w:val="001D72DE"/>
    <w:rsid w:val="001E3725"/>
    <w:rsid w:val="0020147A"/>
    <w:rsid w:val="00202175"/>
    <w:rsid w:val="00211077"/>
    <w:rsid w:val="00211219"/>
    <w:rsid w:val="00231813"/>
    <w:rsid w:val="00244682"/>
    <w:rsid w:val="00246867"/>
    <w:rsid w:val="0025665A"/>
    <w:rsid w:val="002724E3"/>
    <w:rsid w:val="0028674A"/>
    <w:rsid w:val="00295FAE"/>
    <w:rsid w:val="002A15B9"/>
    <w:rsid w:val="002C0D5D"/>
    <w:rsid w:val="002C1354"/>
    <w:rsid w:val="002C511D"/>
    <w:rsid w:val="002D0908"/>
    <w:rsid w:val="002D0EA7"/>
    <w:rsid w:val="002D78BC"/>
    <w:rsid w:val="002E14FD"/>
    <w:rsid w:val="002E5C39"/>
    <w:rsid w:val="00303354"/>
    <w:rsid w:val="0031504B"/>
    <w:rsid w:val="0033373F"/>
    <w:rsid w:val="00335482"/>
    <w:rsid w:val="003411C7"/>
    <w:rsid w:val="0034453E"/>
    <w:rsid w:val="00344578"/>
    <w:rsid w:val="00353C56"/>
    <w:rsid w:val="00365F8D"/>
    <w:rsid w:val="003723E3"/>
    <w:rsid w:val="00375766"/>
    <w:rsid w:val="00377879"/>
    <w:rsid w:val="0038169F"/>
    <w:rsid w:val="003869CA"/>
    <w:rsid w:val="00396170"/>
    <w:rsid w:val="0039628A"/>
    <w:rsid w:val="003A13D4"/>
    <w:rsid w:val="003D21A0"/>
    <w:rsid w:val="003E1A5B"/>
    <w:rsid w:val="003F5265"/>
    <w:rsid w:val="00403775"/>
    <w:rsid w:val="00405B7A"/>
    <w:rsid w:val="00412EC9"/>
    <w:rsid w:val="00417798"/>
    <w:rsid w:val="00424781"/>
    <w:rsid w:val="004365F1"/>
    <w:rsid w:val="00440D0F"/>
    <w:rsid w:val="00441917"/>
    <w:rsid w:val="00444A67"/>
    <w:rsid w:val="00444CD7"/>
    <w:rsid w:val="0045771E"/>
    <w:rsid w:val="00461520"/>
    <w:rsid w:val="00463921"/>
    <w:rsid w:val="00464576"/>
    <w:rsid w:val="004670FA"/>
    <w:rsid w:val="0046747F"/>
    <w:rsid w:val="00495D8E"/>
    <w:rsid w:val="004B3C63"/>
    <w:rsid w:val="004C202D"/>
    <w:rsid w:val="004C4662"/>
    <w:rsid w:val="004F397C"/>
    <w:rsid w:val="00500887"/>
    <w:rsid w:val="00502B07"/>
    <w:rsid w:val="005032AE"/>
    <w:rsid w:val="00506245"/>
    <w:rsid w:val="00525719"/>
    <w:rsid w:val="0052657B"/>
    <w:rsid w:val="00537C24"/>
    <w:rsid w:val="00557B29"/>
    <w:rsid w:val="00561F88"/>
    <w:rsid w:val="00565CC8"/>
    <w:rsid w:val="005662B0"/>
    <w:rsid w:val="0056762F"/>
    <w:rsid w:val="005757EE"/>
    <w:rsid w:val="005758C8"/>
    <w:rsid w:val="005805B9"/>
    <w:rsid w:val="005809EE"/>
    <w:rsid w:val="005A199A"/>
    <w:rsid w:val="005B0178"/>
    <w:rsid w:val="005B6896"/>
    <w:rsid w:val="005C2E99"/>
    <w:rsid w:val="005D12E2"/>
    <w:rsid w:val="005E0A2B"/>
    <w:rsid w:val="005E5738"/>
    <w:rsid w:val="005F1B27"/>
    <w:rsid w:val="005F299A"/>
    <w:rsid w:val="005F4ACC"/>
    <w:rsid w:val="0060198D"/>
    <w:rsid w:val="0060555A"/>
    <w:rsid w:val="006056AC"/>
    <w:rsid w:val="00612723"/>
    <w:rsid w:val="00612780"/>
    <w:rsid w:val="00615B04"/>
    <w:rsid w:val="006559EA"/>
    <w:rsid w:val="00663EFE"/>
    <w:rsid w:val="00664B67"/>
    <w:rsid w:val="006721CE"/>
    <w:rsid w:val="00672E39"/>
    <w:rsid w:val="00674E36"/>
    <w:rsid w:val="00677AC0"/>
    <w:rsid w:val="00687726"/>
    <w:rsid w:val="006A4CF1"/>
    <w:rsid w:val="006C6557"/>
    <w:rsid w:val="006D5DE9"/>
    <w:rsid w:val="006D74E1"/>
    <w:rsid w:val="006E0CDB"/>
    <w:rsid w:val="006E41A7"/>
    <w:rsid w:val="006F2FF6"/>
    <w:rsid w:val="006F382A"/>
    <w:rsid w:val="00730852"/>
    <w:rsid w:val="007463BF"/>
    <w:rsid w:val="00746D7A"/>
    <w:rsid w:val="00751074"/>
    <w:rsid w:val="00752083"/>
    <w:rsid w:val="007561FD"/>
    <w:rsid w:val="00757B03"/>
    <w:rsid w:val="0076299A"/>
    <w:rsid w:val="00771A94"/>
    <w:rsid w:val="00772753"/>
    <w:rsid w:val="007838D0"/>
    <w:rsid w:val="0078656F"/>
    <w:rsid w:val="00791093"/>
    <w:rsid w:val="007B6B64"/>
    <w:rsid w:val="007C1A31"/>
    <w:rsid w:val="007D0B89"/>
    <w:rsid w:val="007E489C"/>
    <w:rsid w:val="007E6C1A"/>
    <w:rsid w:val="007E6DCC"/>
    <w:rsid w:val="007F30BD"/>
    <w:rsid w:val="007F4908"/>
    <w:rsid w:val="007F4FE8"/>
    <w:rsid w:val="007F7910"/>
    <w:rsid w:val="00801DE3"/>
    <w:rsid w:val="00804258"/>
    <w:rsid w:val="008070B5"/>
    <w:rsid w:val="00821931"/>
    <w:rsid w:val="0082462D"/>
    <w:rsid w:val="008265C4"/>
    <w:rsid w:val="008302AD"/>
    <w:rsid w:val="00833D5A"/>
    <w:rsid w:val="00835321"/>
    <w:rsid w:val="00867154"/>
    <w:rsid w:val="00867EE0"/>
    <w:rsid w:val="00873906"/>
    <w:rsid w:val="00880AFA"/>
    <w:rsid w:val="00881D24"/>
    <w:rsid w:val="0088357F"/>
    <w:rsid w:val="00890FB6"/>
    <w:rsid w:val="0089668D"/>
    <w:rsid w:val="008976A0"/>
    <w:rsid w:val="008A5927"/>
    <w:rsid w:val="008B4357"/>
    <w:rsid w:val="008D2487"/>
    <w:rsid w:val="008E2338"/>
    <w:rsid w:val="008E3929"/>
    <w:rsid w:val="008E6E0E"/>
    <w:rsid w:val="00905463"/>
    <w:rsid w:val="0093468E"/>
    <w:rsid w:val="00943267"/>
    <w:rsid w:val="00943C85"/>
    <w:rsid w:val="009538C1"/>
    <w:rsid w:val="009551BE"/>
    <w:rsid w:val="00961DE9"/>
    <w:rsid w:val="00972DFB"/>
    <w:rsid w:val="00991954"/>
    <w:rsid w:val="00992494"/>
    <w:rsid w:val="009949B4"/>
    <w:rsid w:val="009A27FF"/>
    <w:rsid w:val="009A457A"/>
    <w:rsid w:val="009A5990"/>
    <w:rsid w:val="009A7B2D"/>
    <w:rsid w:val="009B4EE3"/>
    <w:rsid w:val="009B73F1"/>
    <w:rsid w:val="009D13C6"/>
    <w:rsid w:val="009D4242"/>
    <w:rsid w:val="009D7616"/>
    <w:rsid w:val="009D7FE4"/>
    <w:rsid w:val="009F0CD4"/>
    <w:rsid w:val="009F1BFC"/>
    <w:rsid w:val="009F46A2"/>
    <w:rsid w:val="009F4CFE"/>
    <w:rsid w:val="00A12AC3"/>
    <w:rsid w:val="00A56145"/>
    <w:rsid w:val="00A739B0"/>
    <w:rsid w:val="00A73F47"/>
    <w:rsid w:val="00A74712"/>
    <w:rsid w:val="00A767BD"/>
    <w:rsid w:val="00A85F2F"/>
    <w:rsid w:val="00A86722"/>
    <w:rsid w:val="00A93A63"/>
    <w:rsid w:val="00AC1940"/>
    <w:rsid w:val="00AE5582"/>
    <w:rsid w:val="00AE6E93"/>
    <w:rsid w:val="00B038C2"/>
    <w:rsid w:val="00B367A9"/>
    <w:rsid w:val="00B47849"/>
    <w:rsid w:val="00B60A79"/>
    <w:rsid w:val="00B67AFA"/>
    <w:rsid w:val="00B67D12"/>
    <w:rsid w:val="00B74FB5"/>
    <w:rsid w:val="00B83F48"/>
    <w:rsid w:val="00B93FB2"/>
    <w:rsid w:val="00B93FEA"/>
    <w:rsid w:val="00B953A7"/>
    <w:rsid w:val="00BC16E6"/>
    <w:rsid w:val="00BC519E"/>
    <w:rsid w:val="00BE00B9"/>
    <w:rsid w:val="00BF2D83"/>
    <w:rsid w:val="00BF5CC0"/>
    <w:rsid w:val="00C02D92"/>
    <w:rsid w:val="00C05874"/>
    <w:rsid w:val="00C32455"/>
    <w:rsid w:val="00C32D3F"/>
    <w:rsid w:val="00C342A4"/>
    <w:rsid w:val="00C35EA6"/>
    <w:rsid w:val="00C3658A"/>
    <w:rsid w:val="00C42348"/>
    <w:rsid w:val="00C53D32"/>
    <w:rsid w:val="00C77A6F"/>
    <w:rsid w:val="00C87905"/>
    <w:rsid w:val="00C903E8"/>
    <w:rsid w:val="00C9093E"/>
    <w:rsid w:val="00C96577"/>
    <w:rsid w:val="00CB28CB"/>
    <w:rsid w:val="00CB294E"/>
    <w:rsid w:val="00CC3E54"/>
    <w:rsid w:val="00CD770B"/>
    <w:rsid w:val="00CE06A9"/>
    <w:rsid w:val="00CE0C1B"/>
    <w:rsid w:val="00CE0EF7"/>
    <w:rsid w:val="00CF452D"/>
    <w:rsid w:val="00D440EA"/>
    <w:rsid w:val="00D47625"/>
    <w:rsid w:val="00D63A8E"/>
    <w:rsid w:val="00D63E31"/>
    <w:rsid w:val="00D845F5"/>
    <w:rsid w:val="00D87ACB"/>
    <w:rsid w:val="00D902F9"/>
    <w:rsid w:val="00D9222C"/>
    <w:rsid w:val="00DB52FC"/>
    <w:rsid w:val="00DB6D30"/>
    <w:rsid w:val="00DC4EC7"/>
    <w:rsid w:val="00DC6E85"/>
    <w:rsid w:val="00E02853"/>
    <w:rsid w:val="00E37EF4"/>
    <w:rsid w:val="00E4193D"/>
    <w:rsid w:val="00E51816"/>
    <w:rsid w:val="00E5190A"/>
    <w:rsid w:val="00E5353C"/>
    <w:rsid w:val="00E63C01"/>
    <w:rsid w:val="00E77208"/>
    <w:rsid w:val="00E8702C"/>
    <w:rsid w:val="00E956A0"/>
    <w:rsid w:val="00E958D1"/>
    <w:rsid w:val="00EA186D"/>
    <w:rsid w:val="00EA3A05"/>
    <w:rsid w:val="00EA46AC"/>
    <w:rsid w:val="00EA5028"/>
    <w:rsid w:val="00EB2F43"/>
    <w:rsid w:val="00EC4A88"/>
    <w:rsid w:val="00EE5DB6"/>
    <w:rsid w:val="00F02CEC"/>
    <w:rsid w:val="00F107B6"/>
    <w:rsid w:val="00F1182F"/>
    <w:rsid w:val="00F20021"/>
    <w:rsid w:val="00F270DE"/>
    <w:rsid w:val="00F347C0"/>
    <w:rsid w:val="00F51948"/>
    <w:rsid w:val="00F552D1"/>
    <w:rsid w:val="00F67D67"/>
    <w:rsid w:val="00F82C30"/>
    <w:rsid w:val="00F83D44"/>
    <w:rsid w:val="00F8558A"/>
    <w:rsid w:val="00FD60A8"/>
    <w:rsid w:val="00FF05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557"/>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5353C"/>
    <w:pPr>
      <w:spacing w:after="0" w:line="240" w:lineRule="auto"/>
    </w:pPr>
    <w:rPr>
      <w:rFonts w:ascii="Times New Roman" w:hAnsi="Times New Roman" w:cs="Times New Roman"/>
      <w:sz w:val="20"/>
      <w:szCs w:val="20"/>
      <w:lang w:bidi="ar-EG"/>
    </w:rPr>
  </w:style>
  <w:style w:type="character" w:customStyle="1" w:styleId="FootnoteTextChar">
    <w:name w:val="Footnote Text Char"/>
    <w:basedOn w:val="DefaultParagraphFont"/>
    <w:link w:val="FootnoteText"/>
    <w:uiPriority w:val="99"/>
    <w:semiHidden/>
    <w:locked/>
    <w:rsid w:val="005F4ACC"/>
    <w:rPr>
      <w:rFonts w:cs="Times New Roman"/>
      <w:sz w:val="20"/>
      <w:szCs w:val="20"/>
    </w:rPr>
  </w:style>
  <w:style w:type="character" w:styleId="FootnoteReference">
    <w:name w:val="footnote reference"/>
    <w:basedOn w:val="DefaultParagraphFont"/>
    <w:uiPriority w:val="99"/>
    <w:semiHidden/>
    <w:rsid w:val="00E5353C"/>
    <w:rPr>
      <w:rFonts w:cs="Times New Roman"/>
      <w:vertAlign w:val="superscript"/>
    </w:rPr>
  </w:style>
  <w:style w:type="table" w:styleId="TableGrid">
    <w:name w:val="Table Grid"/>
    <w:basedOn w:val="TableNormal"/>
    <w:locked/>
    <w:rsid w:val="00E5353C"/>
    <w:pPr>
      <w:bidi/>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B4357"/>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rsid w:val="005757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57EE"/>
    <w:rPr>
      <w:rFonts w:ascii="Tahoma" w:hAnsi="Tahoma" w:cs="Tahoma"/>
      <w:sz w:val="16"/>
      <w:szCs w:val="16"/>
    </w:rPr>
  </w:style>
  <w:style w:type="paragraph" w:styleId="Header">
    <w:name w:val="header"/>
    <w:basedOn w:val="Normal"/>
    <w:link w:val="HeaderChar"/>
    <w:uiPriority w:val="99"/>
    <w:semiHidden/>
    <w:rsid w:val="00303354"/>
    <w:pPr>
      <w:tabs>
        <w:tab w:val="center" w:pos="4680"/>
        <w:tab w:val="right" w:pos="9360"/>
      </w:tabs>
    </w:pPr>
  </w:style>
  <w:style w:type="character" w:customStyle="1" w:styleId="HeaderChar">
    <w:name w:val="Header Char"/>
    <w:basedOn w:val="DefaultParagraphFont"/>
    <w:link w:val="Header"/>
    <w:uiPriority w:val="99"/>
    <w:semiHidden/>
    <w:locked/>
    <w:rsid w:val="00303354"/>
    <w:rPr>
      <w:rFonts w:cs="Times New Roman"/>
    </w:rPr>
  </w:style>
  <w:style w:type="paragraph" w:styleId="Footer">
    <w:name w:val="footer"/>
    <w:basedOn w:val="Normal"/>
    <w:link w:val="FooterChar"/>
    <w:uiPriority w:val="99"/>
    <w:rsid w:val="00303354"/>
    <w:pPr>
      <w:tabs>
        <w:tab w:val="center" w:pos="4680"/>
        <w:tab w:val="right" w:pos="9360"/>
      </w:tabs>
    </w:pPr>
  </w:style>
  <w:style w:type="character" w:customStyle="1" w:styleId="FooterChar">
    <w:name w:val="Footer Char"/>
    <w:basedOn w:val="DefaultParagraphFont"/>
    <w:link w:val="Footer"/>
    <w:uiPriority w:val="99"/>
    <w:locked/>
    <w:rsid w:val="00303354"/>
    <w:rPr>
      <w:rFonts w:cs="Times New Roman"/>
    </w:rPr>
  </w:style>
  <w:style w:type="character" w:styleId="PageNumber">
    <w:name w:val="page number"/>
    <w:basedOn w:val="DefaultParagraphFont"/>
    <w:uiPriority w:val="99"/>
    <w:rsid w:val="009A7B2D"/>
    <w:rPr>
      <w:rFonts w:cs="Times New Roman"/>
    </w:rPr>
  </w:style>
  <w:style w:type="paragraph" w:styleId="EndnoteText">
    <w:name w:val="endnote text"/>
    <w:basedOn w:val="Normal"/>
    <w:link w:val="EndnoteTextChar"/>
    <w:uiPriority w:val="99"/>
    <w:semiHidden/>
    <w:unhideWhenUsed/>
    <w:rsid w:val="007865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656F"/>
  </w:style>
  <w:style w:type="character" w:styleId="EndnoteReference">
    <w:name w:val="endnote reference"/>
    <w:basedOn w:val="DefaultParagraphFont"/>
    <w:uiPriority w:val="99"/>
    <w:semiHidden/>
    <w:unhideWhenUsed/>
    <w:rsid w:val="0078656F"/>
    <w:rPr>
      <w:vertAlign w:val="superscript"/>
    </w:rPr>
  </w:style>
  <w:style w:type="paragraph" w:styleId="Bibliography">
    <w:name w:val="Bibliography"/>
    <w:basedOn w:val="Normal"/>
    <w:next w:val="Normal"/>
    <w:uiPriority w:val="37"/>
    <w:unhideWhenUsed/>
    <w:rsid w:val="0078656F"/>
  </w:style>
  <w:style w:type="paragraph" w:styleId="Caption">
    <w:name w:val="caption"/>
    <w:basedOn w:val="Normal"/>
    <w:next w:val="Normal"/>
    <w:unhideWhenUsed/>
    <w:qFormat/>
    <w:locked/>
    <w:rsid w:val="00612780"/>
    <w:pPr>
      <w:spacing w:line="240" w:lineRule="auto"/>
    </w:pPr>
    <w:rPr>
      <w:b/>
      <w:bCs/>
      <w:color w:val="4F81BD" w:themeColor="accent1"/>
      <w:sz w:val="18"/>
      <w:szCs w:val="18"/>
    </w:rPr>
  </w:style>
  <w:style w:type="character" w:styleId="Hyperlink">
    <w:name w:val="Hyperlink"/>
    <w:basedOn w:val="DefaultParagraphFont"/>
    <w:uiPriority w:val="99"/>
    <w:unhideWhenUsed/>
    <w:rsid w:val="003723E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564036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hanomar2012@hotmail.com" TargetMode="Externa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amiasherif@hotmail.com"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Lin98</b:Tag>
    <b:SourceType>JournalArticle</b:SourceType>
    <b:Guid>{2D65A0B6-4105-4BAC-B31C-453EA81582FA}</b:Guid>
    <b:LCID>0</b:LCID>
    <b:Author>
      <b:Author>
        <b:NameList>
          <b:Person>
            <b:Last>Lindh T</b:Last>
            <b:First>Gunne</b:First>
            <b:Middle>J, Tillberg A, Monlin M</b:Middle>
          </b:Person>
        </b:NameList>
      </b:Author>
    </b:Author>
    <b:Title> Meta-analysis of implants in partial edentulism.</b:Title>
    <b:JournalName>Clin Oral implants res</b:JournalName>
    <b:Year>1998</b:Year>
    <b:Pages>80-90</b:Pages>
    <b:Volume>9</b:Volume>
    <b:RefOrder>1</b:RefOrder>
  </b:Source>
  <b:Source>
    <b:Tag>Cla06</b:Tag>
    <b:SourceType>JournalArticle</b:SourceType>
    <b:Guid>{E3238750-E726-4FDA-945F-4064A1E07E76}</b:Guid>
    <b:LCID>0</b:LCID>
    <b:Author>
      <b:Author>
        <b:NameList>
          <b:Person>
            <b:Last>Clarh DF</b:Last>
            <b:First>Chen</b:First>
            <b:Middle>ST, Dickinson AJ</b:Middle>
          </b:Person>
        </b:NameList>
      </b:Author>
    </b:Author>
    <b:Title> The use of a dental implant as an abutment in three units implant-tooth supported fixed partial denture: a case report and 32 months follow up.</b:Title>
    <b:JournalName> Aust  Dent J </b:JournalName>
    <b:Year>2006</b:Year>
    <b:Pages>263-276</b:Pages>
    <b:Volume>3</b:Volume>
    <b:RefOrder>2</b:RefOrder>
  </b:Source>
  <b:Source>
    <b:Tag>Car10</b:Tag>
    <b:SourceType>JournalArticle</b:SourceType>
    <b:Guid>{69617BAF-6468-4210-93AC-EABE1929D0FA}</b:Guid>
    <b:LCID>0</b:LCID>
    <b:Author>
      <b:Author>
        <b:NameList>
          <b:Person>
            <b:Last>Carillo C</b:Last>
            <b:First>Aliega</b:First>
            <b:Middle>M, Guirado L</b:Middle>
          </b:Person>
        </b:NameList>
      </b:Author>
    </b:Author>
    <b:Title> Tooth implant connection: Abibliographic review. </b:Title>
    <b:JournalName>Med Oral Patol Oral Cir Bucal</b:JournalName>
    <b:Year>2010</b:Year>
    <b:Pages>387-394</b:Pages>
    <b:Volume>15</b:Volume>
    <b:RefOrder>3</b:RefOrder>
  </b:Source>
  <b:Source>
    <b:Tag>Nym00</b:Tag>
    <b:SourceType>JournalArticle</b:SourceType>
    <b:Guid>{10FABEB6-6383-40C3-B844-E8ECB61091B7}</b:Guid>
    <b:LCID>0</b:LCID>
    <b:Author>
      <b:Author>
        <b:NameList>
          <b:Person>
            <b:Last>Nyman S</b:Last>
            <b:First>Lang</b:First>
            <b:Middle>N.</b:Middle>
          </b:Person>
        </b:NameList>
      </b:Author>
    </b:Author>
    <b:Title>Tooth mobility and the biological rationale for splinting teeth</b:Title>
    <b:JournalName>J Periodontol</b:JournalName>
    <b:Year>2000</b:Year>
    <b:Pages>15-22</b:Pages>
    <b:Volume>4</b:Volume>
    <b:RefOrder>4</b:RefOrder>
  </b:Source>
  <b:Source>
    <b:Tag>Wyl91</b:Tag>
    <b:SourceType>JournalArticle</b:SourceType>
    <b:Guid>{A2898D60-2C54-4DC6-91BD-5902FA265F2D}</b:Guid>
    <b:LCID>0</b:LCID>
    <b:Author>
      <b:Author>
        <b:NameList>
          <b:Person>
            <b:Last>Wylie RS</b:Last>
            <b:First>Caputo</b:First>
            <b:Middle>AA</b:Middle>
          </b:Person>
        </b:NameList>
      </b:Author>
    </b:Author>
    <b:Title>Fixed cantilever splints on teeth with normal and reduced periodontal support</b:Title>
    <b:JournalName> J Prosthet Dent</b:JournalName>
    <b:Year>1991</b:Year>
    <b:Pages>737-42</b:Pages>
    <b:Volume>66</b:Volume>
    <b:RefOrder>5</b:RefOrder>
  </b:Source>
  <b:Source>
    <b:Tag>Yan99</b:Tag>
    <b:SourceType>JournalArticle</b:SourceType>
    <b:Guid>{096DE784-6238-4F8C-BBA2-A21A5A951BB2}</b:Guid>
    <b:LCID>0</b:LCID>
    <b:Author>
      <b:Author>
        <b:NameList>
          <b:Person>
            <b:Last>Yang HS</b:Last>
            <b:First>Lang</b:First>
            <b:Middle>LA, Felton DA</b:Middle>
          </b:Person>
        </b:NameList>
      </b:Author>
    </b:Author>
    <b:Title>Finite element stress analysis on the effect of splinting in fixed partial dentures.</b:Title>
    <b:JournalName>J Prosthet Dent</b:JournalName>
    <b:Year>1999</b:Year>
    <b:Pages>721-8</b:Pages>
    <b:Volume>81</b:Volume>
    <b:RefOrder>6</b:RefOrder>
  </b:Source>
  <b:Source>
    <b:Tag>Nae01</b:Tag>
    <b:SourceType>JournalArticle</b:SourceType>
    <b:Guid>{14DA17D9-72EF-4CBD-810A-535A5D7D0D2F}</b:Guid>
    <b:LCID>0</b:LCID>
    <b:Author>
      <b:Author>
        <b:NameList>
          <b:Person>
            <b:Last>Naert I</b:Last>
            <b:First>Duyck</b:First>
            <b:Middle>J, Hosny M, Quirynen M, Vansteenberghe D.</b:Middle>
          </b:Person>
        </b:NameList>
      </b:Author>
    </b:Author>
    <b:Title>  Free standing and tooth-implant connected prostheses in the treatment of partially edentulous patients. Part II: An up to 15 years radiographic evaluation.</b:Title>
    <b:JournalName>Clin Oral Implants res</b:JournalName>
    <b:Year>2001</b:Year>
    <b:Pages>245-251</b:Pages>
    <b:Volume>12</b:Volume>
    <b:RefOrder>8</b:RefOrder>
  </b:Source>
  <b:Source>
    <b:Tag>Gro97</b:Tag>
    <b:SourceType>JournalArticle</b:SourceType>
    <b:Guid>{75A81DC1-9863-424F-AFC6-FD6D6AFFDEBB}</b:Guid>
    <b:LCID>0</b:LCID>
    <b:Author>
      <b:Author>
        <b:NameList>
          <b:Person>
            <b:Last>Gross M</b:Last>
            <b:First>Laufer</b:First>
            <b:Middle>B.</b:Middle>
          </b:Person>
        </b:NameList>
      </b:Author>
    </b:Author>
    <b:Title> Splinting osseointegrated implants and natural teeth in rehabilitation of partially edentulous patient. Part I: laboratory and clinical studies.</b:Title>
    <b:JournalName>J Oral Rehabil</b:JournalName>
    <b:Year>1997</b:Year>
    <b:Pages>863-870</b:Pages>
    <b:Volume>24</b:Volume>
    <b:RefOrder>7</b:RefOrder>
  </b:Source>
  <b:Source>
    <b:Tag>Ste90</b:Tag>
    <b:SourceType>JournalArticle</b:SourceType>
    <b:Guid>{92E5A4BC-7C97-4FEE-99DB-714CED7EEC44}</b:Guid>
    <b:LCID>0</b:LCID>
    <b:Author>
      <b:Author>
        <b:NameList>
          <b:Person>
            <b:Last>Steen D</b:Last>
            <b:First>Leukhom</b:First>
            <b:Middle>V, Bolender C.</b:Middle>
          </b:Person>
        </b:NameList>
      </b:Author>
    </b:Author>
    <b:Title>The applicability to osseointegrated oral implants in the rehabilitation of partially edentulism: a prospective multicenter study on 558 fixtures.</b:Title>
    <b:JournalName>Int J Oral and Maxillofac Implants</b:JournalName>
    <b:Year>1990</b:Year>
    <b:Pages>272-282</b:Pages>
    <b:Volume>5</b:Volume>
    <b:RefOrder>9</b:RefOrder>
  </b:Source>
  <b:Source>
    <b:Tag>Lau98</b:Tag>
    <b:SourceType>JournalArticle</b:SourceType>
    <b:Guid>{36531DA3-72B9-42E0-94AF-10B5DB7593AE}</b:Guid>
    <b:LCID>0</b:LCID>
    <b:Author>
      <b:Author>
        <b:NameList>
          <b:Person>
            <b:Last>Laufer B</b:Last>
            <b:First>Gross</b:First>
            <b:Middle>M.</b:Middle>
          </b:Person>
        </b:NameList>
      </b:Author>
    </b:Author>
    <b:Title> Splinting osseointegrated implants and natural teeth in rehabilitation of partially edentulous patients. Part II: principle and applications.</b:Title>
    <b:JournalName>J Oral Rehabil</b:JournalName>
    <b:Year>1998</b:Year>
    <b:Pages>69-80</b:Pages>
    <b:Volume>25</b:Volume>
    <b:RefOrder>10</b:RefOrder>
  </b:Source>
  <b:Source>
    <b:Tag>Rus99</b:Tag>
    <b:SourceType>JournalArticle</b:SourceType>
    <b:Guid>{0EA30BEC-A88B-4845-A71A-526DD7D798F9}</b:Guid>
    <b:LCID>0</b:LCID>
    <b:Author>
      <b:Author>
        <b:NameList>
          <b:Person>
            <b:Last>Russell D</b:Last>
            <b:First>Kent</b:First>
            <b:Middle>T, Angelo A, Chang MO</b:Middle>
          </b:Person>
        </b:NameList>
      </b:Author>
    </b:Author>
    <b:Title> Photoelastic stress analysis of load transfer to implants and natural teeth comparing rigid semirigid connectors.</b:Title>
    <b:JournalName>J Prosthet Dent</b:JournalName>
    <b:Year>1999</b:Year>
    <b:Pages>699-703.</b:Pages>
    <b:Volume>81</b:Volume>
    <b:RefOrder>11</b:RefOrder>
  </b:Source>
  <b:Source>
    <b:Tag>Bec00</b:Tag>
    <b:SourceType>JournalArticle</b:SourceType>
    <b:Guid>{968E6F6B-39AB-4794-9274-34028DE44C92}</b:Guid>
    <b:LCID>0</b:LCID>
    <b:Author>
      <b:Author>
        <b:NameList>
          <b:Person>
            <b:Last>Becker C</b:Last>
            <b:First>Kaiser</b:First>
            <b:Middle>D, Johnes J</b:Middle>
          </b:Person>
        </b:NameList>
      </b:Author>
    </b:Author>
    <b:Title>  Guidelines for splinting implants.</b:Title>
    <b:JournalName>J Prosthet Dent</b:JournalName>
    <b:Year>2000</b:Year>
    <b:Pages>210-214</b:Pages>
    <b:Volume> 84</b:Volume>
    <b:RefOrder>12</b:RefOrder>
  </b:Source>
  <b:Source>
    <b:Tag>Kei11</b:Tag>
    <b:SourceType>JournalArticle</b:SourceType>
    <b:Guid>{6A784865-176B-484A-9066-5EF930A9BE41}</b:Guid>
    <b:LCID>0</b:LCID>
    <b:Author>
      <b:Author>
        <b:NameList>
          <b:Person>
            <b:Last>Kei I</b:Last>
            <b:First>Yasunori</b:First>
            <b:Middle>A, Yoshihiro T, Motofumi S, Yasuyuki M, Kiyoshi K</b:Middle>
          </b:Person>
        </b:NameList>
      </b:Author>
    </b:Author>
    <b:Title>Relationship between the bone density estimated by cone-beam computed tomography and the primary stability of dental implants.</b:Title>
    <b:JournalName>Clin oral implants res</b:JournalName>
    <b:Year>2011</b:Year>
    <b:Pages>1-5</b:Pages>
    <b:Volume> 23</b:Volume>
    <b:RefOrder>13</b:RefOrder>
  </b:Source>
  <b:Source>
    <b:Tag>Ang</b:Tag>
    <b:SourceType>JournalArticle</b:SourceType>
    <b:Guid>{99F9E9E0-8696-4A66-8ECD-FEC1EC649D52}</b:Guid>
    <b:LCID>0</b:LCID>
    <b:Author>
      <b:Author>
        <b:NameList>
          <b:Person>
            <b:Last>Angelopoulos C</b:Last>
            <b:First>Thomas</b:First>
            <b:Middle>SL, Hechler S, Parissis N, Hlavacek M</b:Middle>
          </b:Person>
        </b:NameList>
      </b:Author>
    </b:Author>
    <b:Title>Comparison between digital panoramic radiography and cone‐beam computed tomography for the identification of the mandibular canal as part of presurgical dental implant assessment</b:Title>
    <b:JournalName>J Oral and Maxillofac Surg</b:JournalName>
    <b:Year>2008 </b:Year>
    <b:Pages>2130‐5</b:Pages>
    <b:Volume> 66(10)</b:Volume>
    <b:RefOrder>14</b:RefOrder>
  </b:Source>
  <b:Source>
    <b:Tag>Rod11</b:Tag>
    <b:SourceType>JournalArticle</b:SourceType>
    <b:Guid>{57216852-6095-4B4F-816D-0EDD381B699F}</b:Guid>
    <b:LCID>0</b:LCID>
    <b:Author>
      <b:Author>
        <b:NameList>
          <b:Person>
            <b:Last>Rodrigues R</b:Last>
            <b:First>Lopes</b:First>
            <b:Middle>A, Rocha M, de Araújo NM</b:Middle>
          </b:Person>
        </b:NameList>
      </b:Author>
    </b:Author>
    <b:Year>2011</b:Year>
    <b:Title>Can Cone Beam Computer Tomography predict the bone density expected at the implant surgical site? Exploratory study</b:Title>
    <b:JournalName>the 20th Annual Scientific Meeting of the European Association of Osseointegration</b:JournalName>
    <b:City> Athens, Greece</b:City>
    <b:RefOrder>15</b:RefOrder>
  </b:Source>
  <b:Source>
    <b:Tag>Ara05</b:Tag>
    <b:SourceType>JournalArticle</b:SourceType>
    <b:Guid>{D9059627-1C4A-44C6-859D-A1CB321D3379}</b:Guid>
    <b:LCID>0</b:LCID>
    <b:Author>
      <b:Author>
        <b:NameList>
          <b:Person>
            <b:Last>Aranyarachkul PCaruso J</b:Last>
            <b:First>Gantes</b:First>
            <b:Middle>B, Schulz E, Riggs M, Dus I, Yamada JM, Crigger M.</b:Middle>
          </b:Person>
        </b:NameList>
      </b:Author>
    </b:Author>
    <b:Title>  Bone density assessments of dental implant sites: 2. Quantitative cone-beam computerized tomography</b:Title>
    <b:JournalName>International J Oral and Maxillofac Implants</b:JournalName>
    <b:Year>2005</b:Year>
    <b:Pages>416-24</b:Pages>
    <b:Volume>20(3)</b:Volume>
    <b:RefOrder>16</b:RefOrder>
  </b:Source>
  <b:Source>
    <b:Tag>Ade90</b:Tag>
    <b:SourceType>JournalArticle</b:SourceType>
    <b:Guid>{4A1732D2-1910-4510-A7E3-13A190257F71}</b:Guid>
    <b:LCID>0</b:LCID>
    <b:Author>
      <b:Author>
        <b:NameList>
          <b:Person>
            <b:Last>Adell R</b:Last>
            <b:First>Erikkson</b:First>
            <b:Middle>B, Lekholm U, Branemark PI, Jemt TA</b:Middle>
          </b:Person>
        </b:NameList>
      </b:Author>
    </b:Author>
    <b:Title> long-term follow up study of osseointegrated implants in the treatment of totally edentulous jaws.</b:Title>
    <b:JournalName>Int J Oral and Maxillofac Implants</b:JournalName>
    <b:Year>1990</b:Year>
    <b:Pages>347-59</b:Pages>
    <b:Volume>5</b:Volume>
    <b:RefOrder>17</b:RefOrder>
  </b:Source>
  <b:Source>
    <b:Tag>Win10</b:Tag>
    <b:SourceType>JournalArticle</b:SourceType>
    <b:Guid>{CA594A2C-37FB-4523-A483-911999AE2DFC}</b:Guid>
    <b:LCID>0</b:LCID>
    <b:Author>
      <b:Author>
        <b:NameList>
          <b:Person>
            <b:Last>Winston</b:Last>
            <b:First>W</b:First>
          </b:Person>
        </b:NameList>
      </b:Author>
    </b:Author>
    <b:Title>Tooth-to-implant connection: A systemic review of the literature and a case report utilizing a new connection design</b:Title>
    <b:JournalName>ClinImplant Dent and related res</b:JournalName>
    <b:Year>2010</b:Year>
    <b:Pages>122-133</b:Pages>
    <b:Volume>12</b:Volume>
    <b:RefOrder>18</b:RefOrder>
  </b:Source>
  <b:Source>
    <b:Tag>Gue06</b:Tag>
    <b:SourceType>JournalArticle</b:SourceType>
    <b:Guid>{6872915A-E6F7-4C9E-836A-EB42038197A7}</b:Guid>
    <b:LCID>0</b:LCID>
    <b:Author>
      <b:Author>
        <b:NameList>
          <b:Person>
            <b:Last>Guerrero ME</b:Last>
            <b:First>Jacobs</b:First>
            <b:Middle>R, Loubele M, Schutyser F, Suetens P, van Steenberghe D</b:Middle>
          </b:Person>
        </b:NameList>
      </b:Author>
    </b:Author>
    <b:Title> State‐of‐the‐art on cone beam CT imaging for preoperative planning of implant placement</b:Title>
    <b:JournalName>Clin Oral Investig</b:JournalName>
    <b:Year>2006</b:Year>
    <b:Pages>1‐7</b:Pages>
    <b:Volume>10(1)</b:Volume>
    <b:RefOrder>19</b:RefOrder>
  </b:Source>
  <b:Source>
    <b:Tag>Kob04</b:Tag>
    <b:SourceType>JournalArticle</b:SourceType>
    <b:Guid>{89BA8039-B98B-4B43-A7E5-55B5D0D19E58}</b:Guid>
    <b:LCID>0</b:LCID>
    <b:Author>
      <b:Author>
        <b:NameList>
          <b:Person>
            <b:Last>Kobayashi K</b:Last>
            <b:First>Shimoda</b:First>
            <b:Middle>S, Nakagawa Y, Yamamoto A</b:Middle>
          </b:Person>
        </b:NameList>
      </b:Author>
    </b:Author>
    <b:Title> Accuracy in measurement of distance using limited cone‐beam computerized tomography.</b:Title>
    <b:JournalName>Int  J Oral and Maxillofac Implants</b:JournalName>
    <b:Year>2004</b:Year>
    <b:Pages>228‐31</b:Pages>
    <b:Volume>19(2)</b:Volume>
    <b:RefOrder>20</b:RefOrder>
  </b:Source>
  <b:Source>
    <b:Tag>Wya98</b:Tag>
    <b:SourceType>JournalArticle</b:SourceType>
    <b:Guid>{AC390D9F-C29F-481F-8FC5-FAD2F6CB43A1}</b:Guid>
    <b:LCID>0</b:LCID>
    <b:Author>
      <b:Author>
        <b:NameList>
          <b:Person>
            <b:Last>Wyatt CC</b:Last>
            <b:First>Pharoah</b:First>
            <b:Middle>MJ.</b:Middle>
          </b:Person>
        </b:NameList>
      </b:Author>
    </b:Author>
    <b:Title>  Imaging techniques and image interpretation for dental implant treatment.</b:Title>
    <b:JournalName>Int J Prosthodont</b:JournalName>
    <b:Year>1998</b:Year>
    <b:Pages>442‐52.</b:Pages>
    <b:Volume>11(5)</b:Volume>
    <b:RefOrder>21</b:RefOrder>
  </b:Source>
  <b:Source>
    <b:Tag>Ara051</b:Tag>
    <b:SourceType>JournalArticle</b:SourceType>
    <b:Guid>{42297E5C-8A6E-4864-B19D-BF5E8460D862}</b:Guid>
    <b:LCID>0</b:LCID>
    <b:Author>
      <b:Author>
        <b:NameList>
          <b:Person>
            <b:Last>Aranyarachkul P</b:Last>
            <b:First>Caruso</b:First>
            <b:Middle>J, Gantes B, Schulz E, Riggs M, Dus I, and others.</b:Middle>
          </b:Person>
        </b:NameList>
      </b:Author>
    </b:Author>
    <b:Title>  Bone density assessments of dental implant sites: 2. Quantitative cone‐beam computerized tomography.</b:Title>
    <b:JournalName>Int J Oral and Maxillofac Implants</b:JournalName>
    <b:Year>2005</b:Year>
    <b:Pages>416‐24</b:Pages>
    <b:Volume>20(3)</b:Volume>
    <b:RefOrder>31</b:RefOrder>
  </b:Source>
  <b:Source>
    <b:Tag>Duy01</b:Tag>
    <b:SourceType>JournalArticle</b:SourceType>
    <b:Guid>{BFA4088E-4C71-4C41-8BD3-C98F913D246B}</b:Guid>
    <b:LCID>0</b:LCID>
    <b:Author>
      <b:Author>
        <b:NameList>
          <b:Person>
            <b:Last>Duyck J</b:Last>
            <b:First>Naert</b:First>
            <b:Middle>I, Van Oosterwyck H, Ronold HJ, Naert I, Vander SJ, Ellingsen JE.</b:Middle>
          </b:Person>
        </b:NameList>
      </b:Author>
    </b:Author>
    <b:Title> The influence of static and dynamic loading on marginal bone reactions around osseointegrated implants: an animal experimental study.</b:Title>
    <b:JournalName>Clin Oral Implants res</b:JournalName>
    <b:Year>2001</b:Year>
    <b:Pages>207-18</b:Pages>
    <b:Volume>12</b:Volume>
    <b:RefOrder>22</b:RefOrder>
  </b:Source>
  <b:Source>
    <b:Tag>Hos94</b:Tag>
    <b:SourceType>JournalArticle</b:SourceType>
    <b:Guid>{110CEE84-AE37-4020-85CD-D9A37DE16C68}</b:Guid>
    <b:LCID>0</b:LCID>
    <b:Author>
      <b:Author>
        <b:NameList>
          <b:Person>
            <b:Last>Hoshaw SJ</b:Last>
            <b:First>Brunski</b:First>
            <b:Middle>JB, Cochran GB.</b:Middle>
          </b:Person>
        </b:NameList>
      </b:Author>
    </b:Author>
    <b:Title>Mechanical loading of Branemark implants affects interfacial bone modeling and remodeling</b:Title>
    <b:JournalName>Int J Oral and Maxillofac Implants</b:JournalName>
    <b:Year>1994</b:Year>
    <b:Pages>345-60</b:Pages>
    <b:Volume>9</b:Volume>
    <b:RefOrder>23</b:RefOrder>
  </b:Source>
  <b:Source>
    <b:Tag>Lin06</b:Tag>
    <b:SourceType>JournalArticle</b:SourceType>
    <b:Guid>{5130C95B-D7E5-469D-B2C1-32B2D94DCEC6}</b:Guid>
    <b:LCID>0</b:LCID>
    <b:Author>
      <b:Author>
        <b:NameList>
          <b:Person>
            <b:Last>Lin CL</b:Last>
            <b:First>Chang</b:First>
            <b:Middle>SH, Wang JC, Chang WJ.</b:Middle>
          </b:Person>
        </b:NameList>
      </b:Author>
    </b:Author>
    <b:Title>Mechanical interactions of an implant/tooth-supported system under different periodontal supports and number of splinted teeth with rigid and non-rigid connections.</b:Title>
    <b:JournalName>J Dent</b:JournalName>
    <b:Year>2006</b:Year>
    <b:Pages>682-91</b:Pages>
    <b:Volume>34</b:Volume>
    <b:RefOrder>24</b:RefOrder>
  </b:Source>
  <b:Source>
    <b:Tag>Nae92</b:Tag>
    <b:SourceType>JournalArticle</b:SourceType>
    <b:Guid>{05C5EC04-5261-4A72-9E10-1DDF22FA4579}</b:Guid>
    <b:LCID>0</b:LCID>
    <b:Author>
      <b:Author>
        <b:NameList>
          <b:Person>
            <b:Last>Naert I</b:Last>
            <b:First>Quirynen</b:First>
            <b:Middle>M, Vansteenberghe D, Darius P.</b:Middle>
          </b:Person>
        </b:NameList>
      </b:Author>
    </b:Author>
    <b:Title> A six years prosthodontic study of 50 consecutively inserted implants for the treatment of partial edentulism.</b:Title>
    <b:JournalName>J Prosthet Dent</b:JournalName>
    <b:Year>1992</b:Year>
    <b:Pages>236-245</b:Pages>
    <b:Volume>67</b:Volume>
    <b:RefOrder>25</b:RefOrder>
  </b:Source>
  <b:Source>
    <b:Tag>Men02</b:Tag>
    <b:SourceType>JournalArticle</b:SourceType>
    <b:Guid>{831727C6-1D76-4F51-85BE-BC0424CB995D}</b:Guid>
    <b:LCID>0</b:LCID>
    <b:Author>
      <b:Author>
        <b:NameList>
          <b:Person>
            <b:Last>Menicucci G</b:Last>
            <b:First>Mossolov</b:First>
            <b:Middle>A, Mozzati M, Preti G</b:Middle>
          </b:Person>
        </b:NameList>
      </b:Author>
    </b:Author>
    <b:Title>Tooth-implant connection: Some biomechanical aspects based on finite elements analysis</b:Title>
    <b:JournalName>Clin Oral Implants res</b:JournalName>
    <b:Year>2002</b:Year>
    <b:Pages>334-344</b:Pages>
    <b:Volume>13</b:Volume>
    <b:RefOrder>26</b:RefOrder>
  </b:Source>
  <b:Source>
    <b:Tag>Kin01</b:Tag>
    <b:SourceType>JournalArticle</b:SourceType>
    <b:Guid>{BCF44B7D-56AE-4DB0-9B2E-9F58B6DB18A9}</b:Guid>
    <b:LCID>0</b:LCID>
    <b:Author>
      <b:Author>
        <b:NameList>
          <b:Person>
            <b:Last>Kindberg H</b:Last>
            <b:First>Gunne</b:First>
            <b:Middle>J, Kron SA</b:Middle>
          </b:Person>
        </b:NameList>
      </b:Author>
    </b:Author>
    <b:Title>Tooth-implant supported prostheses: A retrospective clinical follow up to 8 years.</b:Title>
    <b:JournalName>Int J  Prosthodont</b:JournalName>
    <b:Year>2001</b:Year>
    <b:Pages>575-581</b:Pages>
    <b:Volume>14</b:Volume>
    <b:RefOrder>27</b:RefOrder>
  </b:Source>
  <b:Source>
    <b:Tag>Ric95</b:Tag>
    <b:SourceType>JournalArticle</b:SourceType>
    <b:Guid>{4F89761D-3900-468C-AEAE-8ADF3BBB34AE}</b:Guid>
    <b:LCID>0</b:LCID>
    <b:Author>
      <b:Author>
        <b:NameList>
          <b:Person>
            <b:Last>Richter</b:Last>
            <b:First>EJ</b:First>
          </b:Person>
        </b:NameList>
      </b:Author>
    </b:Author>
    <b:Title>In vivo vertical forces on implants.</b:Title>
    <b:JournalName>Int J Oral and Maxillofac Implantology</b:JournalName>
    <b:Year>1995</b:Year>
    <b:Pages>99-108</b:Pages>
    <b:Volume>10</b:Volume>
    <b:RefOrder>28</b:RefOrder>
  </b:Source>
  <b:Source>
    <b:Tag>Lin01</b:Tag>
    <b:SourceType>JournalArticle</b:SourceType>
    <b:Guid>{63267D7D-07A8-40E0-8511-9E0E7877A137}</b:Guid>
    <b:LCID>0</b:LCID>
    <b:Author>
      <b:Author>
        <b:NameList>
          <b:Person>
            <b:Last>Lindh T</b:Last>
            <b:First>Dahlgren</b:First>
            <b:Middle>S, Gunnarsson K, Josefsson T, Nilson H, Withelmsson P, Gunne J.</b:Middle>
          </b:Person>
        </b:NameList>
      </b:Author>
    </b:Author>
    <b:Title> Tooth-implant supported fixed prostheses: A retrospective multicenter study</b:Title>
    <b:JournalName>Int J Prosthodont</b:JournalName>
    <b:Year>2001</b:Year>
    <b:Pages>321-328</b:Pages>
    <b:Volume>14</b:Volume>
    <b:RefOrder>29</b:RefOrder>
  </b:Source>
  <b:Source>
    <b:Tag>Akc06</b:Tag>
    <b:SourceType>JournalArticle</b:SourceType>
    <b:Guid>{720A330B-9C67-4EDF-968B-73144BF4CAA8}</b:Guid>
    <b:LCID>0</b:LCID>
    <b:Author>
      <b:Author>
        <b:NameList>
          <b:Person>
            <b:Last>Akca K</b:Last>
            <b:First>Uysal</b:First>
            <b:Middle>S, Cehrel MC</b:Middle>
          </b:Person>
        </b:NameList>
      </b:Author>
    </b:Author>
    <b:Title> Implant-tooth supported fixed partial prostheses: correlations between in vivo occlusal bite forces and marginal bone reactions.</b:Title>
    <b:JournalName>Clin Oral Implants res</b:JournalName>
    <b:Year>2006</b:Year>
    <b:Pages>331-336</b:Pages>
    <b:Volume>17</b:Volume>
    <b:RefOrder>30</b:RefOrder>
  </b:Source>
</b:Sources>
</file>

<file path=customXml/itemProps1.xml><?xml version="1.0" encoding="utf-8"?>
<ds:datastoreItem xmlns:ds="http://schemas.openxmlformats.org/officeDocument/2006/customXml" ds:itemID="{25448F49-371B-497E-AEA3-D7D8A57F4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16</Pages>
  <Words>3718</Words>
  <Characters>21198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 comparative study of implant–tooth connected prostheses with rigid and non-rigid connectors</vt:lpstr>
    </vt:vector>
  </TitlesOfParts>
  <Company>VOLXPPRO_SP1</Company>
  <LinksUpToDate>false</LinksUpToDate>
  <CharactersWithSpaces>24867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comparative study of implant–tooth connected prostheses with rigid and non-rigid connectors</dc:title>
  <dc:creator>User</dc:creator>
  <cp:lastModifiedBy>Dr Gihan</cp:lastModifiedBy>
  <cp:revision>15</cp:revision>
  <cp:lastPrinted>2012-02-14T09:09:00Z</cp:lastPrinted>
  <dcterms:created xsi:type="dcterms:W3CDTF">2012-06-16T16:27:00Z</dcterms:created>
  <dcterms:modified xsi:type="dcterms:W3CDTF">2013-03-13T17:50:00Z</dcterms:modified>
</cp:coreProperties>
</file>